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40"/>
      </w:pPr>
      <w:r>
        <w:rPr>
          <w:b/>
          <w:color w:val="1F3864"/>
          <w:sz w:val="36"/>
          <w:szCs w:val="36"/>
        </w:rPr>
        <w:t xml:space="preserve">RESUMEN EXPRESS · CONCURSO CARTERAS DE INVERSIÓN</w:t>
      </w:r>
    </w:p>
    <w:p>
      <w:pPr/>
      <w:r>
        <w:rPr>
          <w:i/>
          <w:color w:val="595959"/>
          <w:sz w:val="19"/>
          <w:szCs w:val="19"/>
        </w:rPr>
        <w:t xml:space="preserve">Lo esencial en pocas páginas, para repasar antes de cada sesión de trading. Las reglas son de ediciones anteriores: confirmar en las bases vigentes.</w:t>
      </w:r>
    </w:p>
    <w:p>
      <w:pPr>
        <w:pStyle w:val="Heading2"/>
      </w:pPr>
      <w:bookmarkStart w:id="1" w:name="_h1"/>
      <w:r>
        <w:rPr/>
        <w:t xml:space="preserve">1. El juego en 6 líneas</w:t>
      </w:r>
      <w:bookmarkEnd w:id="1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Organiza la </w:t>
      </w:r>
      <w:r>
        <w:rPr>
          <w:b/>
        </w:rPr>
        <w:t xml:space="preserve">Bolsa de Santiago (nuam)</w:t>
      </w:r>
      <w:r>
        <w:rPr/>
        <w:t xml:space="preserve">; simulador online con precios reales.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Capital ficticio de </w:t>
      </w:r>
      <w:r>
        <w:rPr>
          <w:b/>
        </w:rPr>
        <w:t xml:space="preserve">$20.000.000</w:t>
      </w:r>
      <w:r>
        <w:rPr/>
        <w:t xml:space="preserve">; históricamente, acciones del </w:t>
      </w:r>
      <w:r>
        <w:rPr>
          <w:b/>
        </w:rPr>
        <w:t xml:space="preserve">IPSA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Comisión histórica de </w:t>
      </w:r>
      <w:r>
        <w:rPr>
          <w:b/>
        </w:rPr>
        <w:t xml:space="preserve">0,5% por operación</w:t>
      </w:r>
      <w:r>
        <w:rPr/>
        <w:t xml:space="preserve"> → una ida y vuelta cuesta </w:t>
      </w:r>
      <w:r>
        <w:rPr>
          <w:b/>
        </w:rPr>
        <w:t xml:space="preserve">~1%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Equipos de </w:t>
      </w:r>
      <w:r>
        <w:rPr>
          <w:b/>
        </w:rPr>
        <w:t xml:space="preserve">hasta 5</w:t>
      </w:r>
      <w:r>
        <w:rPr/>
        <w:t xml:space="preserve"> (2023); </w:t>
      </w:r>
      <w:r>
        <w:rPr>
          <w:b/>
        </w:rPr>
        <w:t xml:space="preserve">marcha blanca</w:t>
      </w:r>
      <w:r>
        <w:rPr/>
        <w:t xml:space="preserve"> de ensayo + concurso oficial de </w:t>
      </w:r>
      <w:r>
        <w:rPr>
          <w:b/>
        </w:rPr>
        <w:t xml:space="preserve">~8 semanas</w:t>
      </w:r>
      <w:r>
        <w:rPr/>
        <w:t xml:space="preserve"> (oct–dic).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Gana la </w:t>
      </w:r>
      <w:r>
        <w:rPr>
          <w:b/>
        </w:rPr>
        <w:t xml:space="preserve">mayor rentabilidad</w:t>
      </w:r>
      <w:r>
        <w:rPr/>
        <w:t xml:space="preserve">; ganadores universitarios históricos: </w:t>
      </w:r>
      <w:r>
        <w:rPr>
          <w:b/>
        </w:rPr>
        <w:t xml:space="preserve">30–65%</w:t>
      </w:r>
      <w:r>
        <w:rPr/>
        <w:t xml:space="preserve"> en ~8 semanas (IPSA 1,23% en 2016).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Es un </w:t>
      </w:r>
      <w:r>
        <w:rPr>
          <w:b/>
        </w:rPr>
        <w:t xml:space="preserve">torneo</w:t>
      </w:r>
      <w:r>
        <w:rPr/>
        <w:t xml:space="preserve">: importa la posición relativa, no el Sharpe.</w:t>
      </w:r>
    </w:p>
    <w:p>
      <w:pPr>
        <w:pStyle w:val="Heading2"/>
      </w:pPr>
      <w:bookmarkStart w:id="2" w:name="_h2"/>
      <w:r>
        <w:rPr/>
        <w:t xml:space="preserve">2. Fórmulas que hay que saber</w:t>
      </w:r>
      <w:bookmarkEnd w:id="2"/>
    </w:p>
    <w:tbl>
      <w:tblPr>
        <w:tblW w:w="96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0" w:type="dxa"/>
          <w:right w:w="9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w="2880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w="6720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Fórmula</w:t>
            </w:r>
          </w:p>
        </w:tc>
      </w:tr>
      <w:tr>
        <w:trPr>
          <w:cantSplit/>
        </w:trPr>
        <w:tc>
          <w:tcPr>
            <w:tcW w:w="288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Retorno simple</w:t>
            </w:r>
          </w:p>
        </w:tc>
        <w:tc>
          <w:tcPr>
            <w:tcW w:w="67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 = (P₁ + D − P₀) / P₀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Anualizar</w:t>
            </w:r>
          </w:p>
        </w:tc>
        <w:tc>
          <w:tcPr>
            <w:tcW w:w="672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Ret: (1 + r̄)^252 − 1   ·   Vol: σ × √252</w:t>
            </w:r>
          </w:p>
        </w:tc>
      </w:tr>
      <w:tr>
        <w:trPr>
          <w:cantSplit/>
        </w:trPr>
        <w:tc>
          <w:tcPr>
            <w:tcW w:w="288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Cartera 2 activos</w:t>
            </w:r>
          </w:p>
        </w:tc>
        <w:tc>
          <w:tcPr>
            <w:tcW w:w="67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σp² = w₁²σ₁² + w₂²σ₂² + 2w₁w₂ρσ₁σ₂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Mínima varianza</w:t>
            </w:r>
          </w:p>
        </w:tc>
        <w:tc>
          <w:tcPr>
            <w:tcW w:w="672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w₁* = (σ₂² − ρσ₁σ₂) / (σ₁² + σ₂² − 2ρσ₁σ₂)</w:t>
            </w:r>
          </w:p>
        </w:tc>
      </w:tr>
      <w:tr>
        <w:trPr>
          <w:cantSplit/>
        </w:trPr>
        <w:tc>
          <w:tcPr>
            <w:tcW w:w="288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CAPM</w:t>
            </w:r>
          </w:p>
        </w:tc>
        <w:tc>
          <w:tcPr>
            <w:tcW w:w="67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E(R) = rf + β · (E(Rm) − rf)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Beta</w:t>
            </w:r>
          </w:p>
        </w:tc>
        <w:tc>
          <w:tcPr>
            <w:tcW w:w="672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β = Cov(Ri, Rm) / Var(Rm);   βp = Σ wᵢβᵢ</w:t>
            </w:r>
          </w:p>
        </w:tc>
      </w:tr>
      <w:tr>
        <w:trPr>
          <w:cantSplit/>
        </w:trPr>
        <w:tc>
          <w:tcPr>
            <w:tcW w:w="288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Sharpe / Treynor</w:t>
            </w:r>
          </w:p>
        </w:tc>
        <w:tc>
          <w:tcPr>
            <w:tcW w:w="67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(Rp − rf) / σp   ·   (Rp − rf) / βp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Alfa de Jensen</w:t>
            </w:r>
          </w:p>
        </w:tc>
        <w:tc>
          <w:tcPr>
            <w:tcW w:w="672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Rp − [rf + βp(Rm − rf)]</w:t>
            </w:r>
          </w:p>
        </w:tc>
      </w:tr>
      <w:tr>
        <w:trPr>
          <w:cantSplit/>
        </w:trPr>
        <w:tc>
          <w:tcPr>
            <w:tcW w:w="288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Recuperar una caída d</w:t>
            </w:r>
          </w:p>
        </w:tc>
        <w:tc>
          <w:tcPr>
            <w:tcW w:w="67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/ (1 − d) − 1   (−25% → +33%; −50% → +100%)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Empate por comisión</w:t>
            </w:r>
          </w:p>
        </w:tc>
        <w:tc>
          <w:tcPr>
            <w:tcW w:w="672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(1 + c)/(1 − c) − 1 ≈ 1,005% con c = 0,5%</w:t>
            </w:r>
          </w:p>
        </w:tc>
      </w:tr>
      <w:tr>
        <w:trPr>
          <w:cantSplit/>
        </w:trPr>
        <w:tc>
          <w:tcPr>
            <w:tcW w:w="288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Costo de n rotaciones</w:t>
            </w:r>
          </w:p>
        </w:tc>
        <w:tc>
          <w:tcPr>
            <w:tcW w:w="67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1 − ((1 − c)/(1 + c))^n   (10 → 9,5%)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Tamaño de posición</w:t>
            </w:r>
          </w:p>
        </w:tc>
        <w:tc>
          <w:tcPr>
            <w:tcW w:w="672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Riesgo aceptado / distancia al stop (1% / 8% = 12,5%)</w:t>
            </w:r>
          </w:p>
        </w:tc>
      </w:tr>
      <w:tr>
        <w:trPr>
          <w:cantSplit/>
        </w:trPr>
        <w:tc>
          <w:tcPr>
            <w:tcW w:w="288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Múltiplos</w:t>
            </w:r>
          </w:p>
        </w:tc>
        <w:tc>
          <w:tcPr>
            <w:tcW w:w="672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P/U · P/VL (=1/BME) · EV/EBITDA · Div. yield · ROE</w:t>
            </w:r>
          </w:p>
        </w:tc>
      </w:tr>
      <w:tr>
        <w:trPr>
          <w:cantSplit/>
        </w:trPr>
        <w:tc>
          <w:tcPr>
            <w:tcW w:w="288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RSI</w:t>
            </w:r>
          </w:p>
        </w:tc>
        <w:tc>
          <w:tcPr>
            <w:tcW w:w="672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100 − 100/(1 + G/P);  &gt;70 sobrecompra, &lt;30 sobreventa</w:t>
            </w:r>
          </w:p>
        </w:tc>
      </w:tr>
    </w:tbl>
    <w:p>
      <w:pPr>
        <w:spacing w:after="60"/>
      </w:pPr>
    </w:p>
    <w:p>
      <w:pPr>
        <w:pStyle w:val="Heading2"/>
      </w:pPr>
      <w:bookmarkStart w:id="3" w:name="_h3"/>
      <w:r>
        <w:rPr/>
        <w:t xml:space="preserve">3. Probabilidad de superar +30% en 8 semanas (μ = 10% anual)</w:t>
      </w:r>
      <w:bookmarkEnd w:id="3"/>
    </w:p>
    <w:tbl>
      <w:tblPr>
        <w:tblW w:w="96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0" w:type="dxa"/>
          <w:right w:w="90" w:type="dxa"/>
        </w:tblCellMar>
      </w:tblPr>
      <w:tblGrid>
        <w:gridCol w:w="2938"/>
        <w:gridCol w:w="1665"/>
        <w:gridCol w:w="1665"/>
        <w:gridCol w:w="1665"/>
        <w:gridCol w:w="1665"/>
      </w:tblGrid>
      <w:tr>
        <w:trPr>
          <w:tblHeader/>
        </w:trPr>
        <w:tc>
          <w:tcPr>
            <w:tcW w:w="2938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Volatilidad anual</w:t>
            </w:r>
          </w:p>
        </w:tc>
        <w:tc>
          <w:tcPr>
            <w:tcW w:w="1665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15%</w:t>
            </w:r>
          </w:p>
        </w:tc>
        <w:tc>
          <w:tcPr>
            <w:tcW w:w="1665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20%</w:t>
            </w:r>
          </w:p>
        </w:tc>
        <w:tc>
          <w:tcPr>
            <w:tcW w:w="1665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40%</w:t>
            </w:r>
          </w:p>
        </w:tc>
        <w:tc>
          <w:tcPr>
            <w:tcW w:w="1665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60%</w:t>
            </w:r>
          </w:p>
        </w:tc>
      </w:tr>
      <w:tr>
        <w:trPr>
          <w:cantSplit/>
        </w:trPr>
        <w:tc>
          <w:tcPr>
            <w:tcW w:w="2938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P(R &gt; 30%)</w:t>
            </w:r>
          </w:p>
        </w:tc>
        <w:tc>
          <w:tcPr>
            <w:tcW w:w="1665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~0%</w:t>
            </w:r>
          </w:p>
        </w:tc>
        <w:tc>
          <w:tcPr>
            <w:tcW w:w="1665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0,07%</w:t>
            </w:r>
          </w:p>
        </w:tc>
        <w:tc>
          <w:tcPr>
            <w:tcW w:w="1665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4,9%</w:t>
            </w:r>
          </w:p>
        </w:tc>
        <w:tc>
          <w:tcPr>
            <w:tcW w:w="1665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12,2%</w:t>
            </w:r>
          </w:p>
        </w:tc>
      </w:tr>
      <w:tr>
        <w:trPr>
          <w:cantSplit/>
        </w:trPr>
        <w:tc>
          <w:tcPr>
            <w:tcW w:w="2938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P(R &lt; −10%)</w:t>
            </w:r>
          </w:p>
        </w:tc>
        <w:tc>
          <w:tcPr>
            <w:tcW w:w="1665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2,2%</w:t>
            </w:r>
          </w:p>
        </w:tc>
        <w:tc>
          <w:tcPr>
            <w:tcW w:w="1665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6,7%</w:t>
            </w:r>
          </w:p>
        </w:tc>
        <w:tc>
          <w:tcPr>
            <w:tcW w:w="1665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24,5%</w:t>
            </w:r>
          </w:p>
        </w:tc>
        <w:tc>
          <w:tcPr>
            <w:tcW w:w="1665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34,6%</w:t>
            </w:r>
          </w:p>
        </w:tc>
      </w:tr>
    </w:tbl>
    <w:p>
      <w:pPr>
        <w:spacing w:after="60"/>
      </w:pPr>
    </w:p>
    <w:p>
      <w:pPr/>
      <w:r>
        <w:rPr>
          <w:sz w:val="20"/>
          <w:szCs w:val="20"/>
        </w:rPr>
        <w:t xml:space="preserve">→ Sin aceptar volatilidad no se gana; con demasiada, se pierde fuerte. Equilibrio: </w:t>
      </w:r>
      <w:r>
        <w:rPr>
          <w:b/>
          <w:sz w:val="20"/>
          <w:szCs w:val="20"/>
        </w:rPr>
        <w:t xml:space="preserve">concentración con tesis + reglas de salida</w:t>
      </w:r>
      <w:r>
        <w:rPr>
          <w:sz w:val="20"/>
          <w:szCs w:val="20"/>
        </w:rPr>
        <w:t xml:space="preserve">.</w:t>
      </w:r>
    </w:p>
    <w:p>
      <w:pPr>
        <w:pStyle w:val="Heading2"/>
      </w:pPr>
      <w:bookmarkStart w:id="4" w:name="_h4"/>
      <w:r>
        <w:rPr/>
        <w:t xml:space="preserve">4. Estrategia recomendada</w:t>
      </w:r>
      <w:bookmarkEnd w:id="4"/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Core–satélite agresiva:</w:t>
      </w:r>
      <w:r>
        <w:rPr/>
        <w:t xml:space="preserve"> 50% núcleo (3–4 acciones líquidas de sectores distintos) + 50% satélites (2–3 apuestas con catalizador).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Límite por acción:</w:t>
      </w:r>
      <w:r>
        <w:rPr/>
        <w:t xml:space="preserve"> 25–35%. No dos acciones que sean la misma apuesta.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Catalizador estrella:</w:t>
      </w:r>
      <w:r>
        <w:rPr/>
        <w:t xml:space="preserve"> temporada de resultados del 3T (fines de octubre – noviembre) y PEAD.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Momentum:</w:t>
      </w:r>
      <w:r>
        <w:rPr/>
        <w:t xml:space="preserve"> preferir acciones con tendencia; entrar en retrocesos.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Operar poco:</w:t>
      </w:r>
      <w:r>
        <w:rPr/>
        <w:t xml:space="preserve"> solo si el movimiento esperado es ≥ 3× el costo (~3%).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Según ranking:</w:t>
      </w:r>
      <w:r>
        <w:rPr/>
        <w:t xml:space="preserve"> arriba → bajar riesgo; atrás → concentrar temprano, nunca todo el último día.</w:t>
      </w:r>
    </w:p>
    <w:p>
      <w:pPr>
        <w:pStyle w:val="Heading2"/>
      </w:pPr>
      <w:bookmarkStart w:id="5" w:name="_h5"/>
      <w:r>
        <w:rPr/>
        <w:t xml:space="preserve">5. Checklist antes de operar</w:t>
      </w:r>
      <w:bookmarkEnd w:id="5"/>
    </w:p>
    <w:tbl>
      <w:tblPr>
        <w:tblW w:w="96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0" w:type="dxa"/>
          <w:right w:w="90" w:type="dxa"/>
        </w:tblCellMar>
      </w:tblPr>
      <w:tblGrid>
        <w:gridCol w:w="612"/>
        <w:gridCol w:w="8170"/>
        <w:gridCol w:w="817"/>
      </w:tblGrid>
      <w:tr>
        <w:trPr>
          <w:tblHeader/>
        </w:trPr>
        <w:tc>
          <w:tcPr>
            <w:tcW w:w="612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8170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w="817" w:type="dxa"/>
            <w:shd w:val="clear" w:color="auto" w:fill="1F3864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w="61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817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¿Tesis escrita en 1–2 frases?</w:t>
            </w:r>
          </w:p>
        </w:tc>
        <w:tc>
          <w:tcPr>
            <w:tcW w:w="817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612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817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¿Catalizador dentro del concurso?</w:t>
            </w:r>
          </w:p>
        </w:tc>
        <w:tc>
          <w:tcPr>
            <w:tcW w:w="817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61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817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¿Revisé noticias y hechos esenciales (CMF)?</w:t>
            </w:r>
          </w:p>
        </w:tc>
        <w:tc>
          <w:tcPr>
            <w:tcW w:w="817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612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817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¿Respeta el límite por acción y la correlación?</w:t>
            </w:r>
          </w:p>
        </w:tc>
        <w:tc>
          <w:tcPr>
            <w:tcW w:w="817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61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817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¿Movimiento esperado ≥ 3× el costo?</w:t>
            </w:r>
          </w:p>
        </w:tc>
        <w:tc>
          <w:tcPr>
            <w:tcW w:w="817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612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817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¿Stop y objetivo definidos?</w:t>
            </w:r>
          </w:p>
        </w:tc>
        <w:tc>
          <w:tcPr>
            <w:tcW w:w="817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612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8170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¿Estoy tranquilo (no FOMO, no "recuperar")?</w:t>
            </w:r>
          </w:p>
        </w:tc>
        <w:tc>
          <w:tcPr>
            <w:tcW w:w="817" w:type="dx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612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8170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¿Registré la operación en el diario?</w:t>
            </w:r>
          </w:p>
        </w:tc>
        <w:tc>
          <w:tcPr>
            <w:tcW w:w="817" w:type="dxa"/>
            <w:shd w:val="clear" w:color="auto" w:fill="EEF3FA"/>
            <w:tcMar>
              <w:top w:w="50" w:type="dxa"/>
              <w:bottom w:w="50" w:type="dxa"/>
            </w:tcMar>
          </w:tcPr>
          <w:p>
            <w:pPr>
              <w:spacing w:before="20" w:after="2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</w:pPr>
      <w:bookmarkStart w:id="6" w:name="_h6"/>
      <w:r>
        <w:rPr/>
        <w:t xml:space="preserve">6. Calendario a vigilar</w:t>
      </w:r>
      <w:bookmarkEnd w:id="6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Resultados trimestrales de sus empresas (CMF).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Reunión de Política Monetaria del Banco Central.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IPC del INE (~día 8 de cada mes).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Fed (FOMC) y datos de EE.UU.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Cobre, litio, celulosa, petróleo y dólar (diario).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Fechas ex-dividendo.</w:t>
      </w:r>
    </w:p>
    <w:p>
      <w:pPr>
        <w:pStyle w:val="Heading2"/>
      </w:pPr>
      <w:bookmarkStart w:id="7" w:name="_h7"/>
      <w:r>
        <w:rPr/>
        <w:t xml:space="preserve">7. Los 6 mandamientos</w:t>
      </w:r>
      <w:bookmarkEnd w:id="7"/>
    </w:p>
    <w:p>
      <w:pPr>
        <w:pStyle w:val="ListParagraph"/>
        <w:numPr>
          <w:ilvl w:val="0"/>
          <w:numId w:val="3"/>
        </w:numPr>
        <w:spacing w:after="60"/>
      </w:pPr>
      <w:r>
        <w:rPr/>
        <w:t xml:space="preserve">Leerás las bases antes que nada.</w:t>
      </w:r>
    </w:p>
    <w:p>
      <w:pPr>
        <w:pStyle w:val="ListParagraph"/>
        <w:numPr>
          <w:ilvl w:val="0"/>
          <w:numId w:val="3"/>
        </w:numPr>
        <w:spacing w:after="60"/>
      </w:pPr>
      <w:r>
        <w:rPr/>
        <w:t xml:space="preserve">No copiarás el IPSA si quieres ganar.</w:t>
      </w:r>
    </w:p>
    <w:p>
      <w:pPr>
        <w:pStyle w:val="ListParagraph"/>
        <w:numPr>
          <w:ilvl w:val="0"/>
          <w:numId w:val="3"/>
        </w:numPr>
        <w:spacing w:after="60"/>
      </w:pPr>
      <w:r>
        <w:rPr/>
        <w:t xml:space="preserve">No regalarás tu rentabilidad en comisiones.</w:t>
      </w:r>
    </w:p>
    <w:p>
      <w:pPr>
        <w:pStyle w:val="ListParagraph"/>
        <w:numPr>
          <w:ilvl w:val="0"/>
          <w:numId w:val="3"/>
        </w:numPr>
        <w:spacing w:after="60"/>
      </w:pPr>
      <w:r>
        <w:rPr/>
        <w:t xml:space="preserve">Toda posición tendrá tesis, catalizador y salida.</w:t>
      </w:r>
    </w:p>
    <w:p>
      <w:pPr>
        <w:pStyle w:val="ListParagraph"/>
        <w:numPr>
          <w:ilvl w:val="0"/>
          <w:numId w:val="3"/>
        </w:numPr>
        <w:spacing w:after="60"/>
      </w:pPr>
      <w:r>
        <w:rPr/>
        <w:t xml:space="preserve">Cortarás las pérdidas y dejarás correr las ganancias con tesis vigente.</w:t>
      </w:r>
    </w:p>
    <w:p>
      <w:pPr>
        <w:pStyle w:val="ListParagraph"/>
        <w:numPr>
          <w:ilvl w:val="0"/>
          <w:numId w:val="3"/>
        </w:numPr>
        <w:spacing w:after="60"/>
      </w:pPr>
      <w:r>
        <w:rPr/>
        <w:t xml:space="preserve">Ajustarás el riesgo según el ranking, con tiempo y por escrito.</w:t>
      </w:r>
    </w:p>
    <w:p>
      <w:pPr>
        <w:spacing w:after="60"/>
        <w:jc w:val="center"/>
      </w:pPr>
      <w:r>
        <w:drawing>
          <wp:inline distT="0" distB="0" distL="0" distR="0">
            <wp:extent cx="5940000" cy="3192750"/>
            <wp:docPr id="1" name="Imagen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  <w:szCs w:val="18"/>
        </w:rPr>
        <w:t xml:space="preserve">Fórmulas esenciales (también en 04_Esquemas_PNG).</w:t>
      </w:r>
    </w:p>
    <w:sectPr>
      <w:headerReference w:type="default" r:id="rIdHdr"/>
      <w:footerReference w:type="default" r:id="rIdFtr"/>
      <w:pgSz w:w="12240" w:h="15840"/>
      <w:pgMar w:top="1300" w:right="1300" w:bottom="1200" w:left="1300" w:header="600" w:footer="600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7F7F7F"/>
        <w:sz w:val="18"/>
      </w:rPr>
      <w:t xml:space="preserve">Página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PAGE </w:instrText>
    </w:r>
    <w:r>
      <w:rPr>
        <w:color w:val="7F7F7F"/>
        <w:sz w:val="18"/>
      </w:rPr>
      <w:fldChar w:fldCharType="separate"/>
    </w:r>
    <w:r>
      <w:rPr>
        <w:color w:val="7F7F7F"/>
        <w:sz w:val="18"/>
      </w:rPr>
      <w:t>1</w:t>
    </w:r>
    <w:r>
      <w:rPr>
        <w:color w:val="7F7F7F"/>
        <w:sz w:val="18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6" w:space="1" w:color="2E75B6"/>
      </w:pBdr>
      <w:jc w:val="right"/>
    </w:pPr>
    <w:r>
      <w:rPr>
        <w:color w:val="7F7F7F"/>
        <w:sz w:val="17"/>
        <w:szCs w:val="17"/>
      </w:rPr>
      <w:t xml:space="preserve">Resumen Express · CCI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600" w:hanging="30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00" w:hanging="300"/>
      </w:pPr>
    </w:lvl>
    <w:lvl w:ilvl="2">
      <w:start w:val="1"/>
      <w:numFmt w:val="bullet"/>
      <w:lvlText w:val="▪"/>
      <w:lvlJc w:val="left"/>
      <w:pPr>
        <w:ind w:left="1600" w:hanging="30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00" w:hanging="300"/>
      </w:pPr>
    </w:lvl>
    <w:lvl w:ilvl="1">
      <w:start w:val="1"/>
      <w:numFmt w:val="lowerLetter"/>
      <w:lvlText w:val="%2)"/>
      <w:lvlJc w:val="left"/>
      <w:pPr>
        <w:ind w:left="1100" w:hanging="300"/>
      </w:pPr>
    </w:lvl>
    <w:lvl w:ilvl="2">
      <w:start w:val="1"/>
      <w:numFmt w:val="lowerRoman"/>
      <w:lvlText w:val="%3."/>
      <w:lvlJc w:val="left"/>
      <w:pPr>
        <w:ind w:left="1600" w:hanging="30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08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es-CL"/>
      </w:rPr>
    </w:rPrDefault>
    <w:pPrDefault>
      <w:pPr>
        <w:spacing w:after="110" w:line="264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Heading1">
    <w:name w:val="heading 1"/>
    <w:basedOn w:val="Normal"/>
    <w:next w:val="Normal"/>
    <w:qFormat/>
    <w:pPr>
      <w:keepNext/>
      <w:keepLines/>
      <w:pageBreakBefore/>
      <w:pBdr>
        <w:bottom w:val="single" w:sz="8" w:space="2" w:color="2E75B6"/>
      </w:pBdr>
      <w:spacing w:before="240" w:after="160"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pPr>
      <w:ind w:left="720"/>
      <w:jc w:val="left"/>
    </w:pPr>
  </w:style>
  <w:style w:type="paragraph" w:styleId="Formula">
    <w:name w:val="Formula"/>
    <w:basedOn w:val="Normal"/>
    <w:pPr>
      <w:shd w:val="clear" w:color="auto" w:fill="F2F2F2"/>
      <w:spacing w:before="60" w:after="60"/>
      <w:jc w:val="center"/>
    </w:pPr>
    <w:rPr>
      <w:color w:val="1F3864"/>
      <w:sz w:val="23"/>
    </w:rPr>
  </w:style>
  <w:style w:type="paragraph" w:styleId="TOC1">
    <w:name w:val="toc 1"/>
    <w:basedOn w:val="Normal"/>
    <w:next w:val="Normal"/>
    <w:pPr>
      <w:spacing w:after="60"/>
    </w:pPr>
    <w:rPr>
      <w:b/>
    </w:rPr>
  </w:style>
  <w:style w:type="paragraph" w:styleId="TOC2">
    <w:name w:val="toc 2"/>
    <w:basedOn w:val="Normal"/>
    <w:next w:val="Normal"/>
    <w:pPr>
      <w:spacing w:after="40"/>
      <w:ind w:left="30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Resumen Express CCI</dc:title>
  <dc:creator>Guia CCI</dc:creator>
  <dcterms:created xsi:type="dcterms:W3CDTF">2026-10-18T22:42:12Z</dcterms:created>
</cp:coreProperties>
</file>