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40"/>
      </w:pPr>
      <w:r>
        <w:rPr>
          <w:b/>
          <w:color w:val="1F3864"/>
          <w:sz w:val="36"/>
          <w:szCs w:val="36"/>
        </w:rPr>
        <w:t xml:space="preserve">PLAN DE ESTRATEGIA DEL EQUIPO · CCI</w:t>
      </w:r>
    </w:p>
    <w:p>
      <w:pPr/>
      <w:r>
        <w:rPr>
          <w:i/>
          <w:color w:val="595959"/>
          <w:sz w:val="19"/>
          <w:szCs w:val="19"/>
        </w:rPr>
        <w:t xml:space="preserve">Llénenla antes de la marcha blanca y revísenla cada viernes. Un plan escrito es la mejor defensa contra los sesgos.</w:t>
      </w:r>
    </w:p>
    <w:p>
      <w:pPr>
        <w:pStyle w:val="Heading2"/>
      </w:pPr>
      <w:bookmarkStart w:id="1" w:name="_h1"/>
      <w:r>
        <w:rPr/>
        <w:t xml:space="preserve">1. Equipo y roles</w:t>
      </w:r>
      <w:bookmarkEnd w:id="1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2716"/>
        <w:gridCol w:w="2354"/>
        <w:gridCol w:w="2354"/>
        <w:gridCol w:w="2173"/>
      </w:tblGrid>
      <w:tr>
        <w:trPr>
          <w:tblHeader/>
        </w:trPr>
        <w:tc>
          <w:tcPr>
            <w:tcW w:w="2716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w="2354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Rol principal</w:t>
            </w:r>
          </w:p>
        </w:tc>
        <w:tc>
          <w:tcPr>
            <w:tcW w:w="2354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Rol secundario</w:t>
            </w:r>
          </w:p>
        </w:tc>
        <w:tc>
          <w:tcPr>
            <w:tcW w:w="2173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Contacto</w:t>
            </w:r>
          </w:p>
        </w:tc>
      </w:tr>
      <w:tr>
        <w:trPr>
          <w:cantSplit/>
        </w:trPr>
        <w:tc>
          <w:tcPr>
            <w:tcW w:w="271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17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71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17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71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17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71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17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71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354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17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/>
      <w:r>
        <w:rPr/>
        <w:t xml:space="preserve">¿Quién ejecuta las órdenes? 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/>
        <w:t xml:space="preserve">   ¿Cómo resolvemos desacuerdos? 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>_</w:t>
      </w:r>
      <w:r>
        <w:rPr>
          <w:i/>
        </w:rPr>
        <w:t xml:space="preserve"/>
      </w:r>
    </w:p>
    <w:p>
      <w:pPr>
        <w:pStyle w:val="Heading2"/>
      </w:pPr>
      <w:bookmarkStart w:id="2" w:name="_h2"/>
      <w:r>
        <w:rPr/>
        <w:t xml:space="preserve">2. Reglas confirmadas en las bases</w:t>
      </w:r>
      <w:bookmarkEnd w:id="2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3360"/>
        <w:gridCol w:w="6240"/>
      </w:tblGrid>
      <w:tr>
        <w:trPr>
          <w:tblHeader/>
        </w:trPr>
        <w:tc>
          <w:tcPr>
            <w:tcW w:w="336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w="624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Lo que dicen las bases</w:t>
            </w: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Universo de instrumentos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Comisión (y forma de cobro)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Ventas cortas / margen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Límites de concentración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Precio de ejecución y horario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Dividendos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Criterio de ranking y premios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Fechas (marcha blanca, inicio, fin)</w:t>
            </w:r>
          </w:p>
        </w:tc>
        <w:tc>
          <w:tcPr>
            <w:tcW w:w="624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3" w:name="_h3"/>
      <w:r>
        <w:rPr/>
        <w:t xml:space="preserve">3. Escenario macro (1 párrafo)</w:t>
      </w:r>
      <w:bookmarkEnd w:id="3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1920"/>
        <w:gridCol w:w="4320"/>
        <w:gridCol w:w="3360"/>
      </w:tblGrid>
      <w:tr>
        <w:trPr>
          <w:tblHeader/>
        </w:trPr>
        <w:tc>
          <w:tcPr>
            <w:tcW w:w="192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w="432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Nuestra visión para las próximas 8 semanas</w:t>
            </w:r>
          </w:p>
        </w:tc>
        <w:tc>
          <w:tcPr>
            <w:tcW w:w="336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Sectores que favorece / perjudica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Cobre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Dólar / peso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TPM e inflación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China / Fed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Política local</w:t>
            </w:r>
          </w:p>
        </w:tc>
        <w:tc>
          <w:tcPr>
            <w:tcW w:w="43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336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4" w:name="_h4"/>
      <w:r>
        <w:rPr/>
        <w:t xml:space="preserve">4. Objetivo y riesgo</w:t>
      </w:r>
      <w:bookmarkEnd w:id="4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w="480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Nuestra decisión</w:t>
            </w: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Estrategia (A indexada / B core–satélite / C concentrada)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Número de acciones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% núcleo / % satélites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Límite máximo por acción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Beta objetivo de la cartera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Pérdida máxima aceptada por idea (% del capital)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Drawdown que nos obliga a revisar todo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Máximo de operaciones por semana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Regla si vamos arriba en el ranking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Regla si vamos atrás en el ranking</w:t>
            </w:r>
          </w:p>
        </w:tc>
        <w:tc>
          <w:tcPr>
            <w:tcW w:w="48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5" w:name="_h5"/>
      <w:r>
        <w:rPr/>
        <w:t xml:space="preserve">5. Cartera inicial</w:t>
      </w:r>
      <w:bookmarkEnd w:id="5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1292"/>
        <w:gridCol w:w="1200"/>
        <w:gridCol w:w="738"/>
        <w:gridCol w:w="2769"/>
        <w:gridCol w:w="1846"/>
        <w:gridCol w:w="830"/>
        <w:gridCol w:w="923"/>
      </w:tblGrid>
      <w:tr>
        <w:trPr>
          <w:tblHeader/>
        </w:trPr>
        <w:tc>
          <w:tcPr>
            <w:tcW w:w="1292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w="120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Núcleo / satélite</w:t>
            </w:r>
          </w:p>
        </w:tc>
        <w:tc>
          <w:tcPr>
            <w:tcW w:w="738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w="2769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Tesis (1 frase)</w:t>
            </w:r>
          </w:p>
        </w:tc>
        <w:tc>
          <w:tcPr>
            <w:tcW w:w="1846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Catalizador y fecha</w:t>
            </w:r>
          </w:p>
        </w:tc>
        <w:tc>
          <w:tcPr>
            <w:tcW w:w="83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w="923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9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7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276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46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83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9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6" w:name="_h6"/>
      <w:r>
        <w:rPr/>
        <w:t xml:space="preserve">6. Revisión semanal</w:t>
      </w:r>
      <w:bookmarkEnd w:id="6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847"/>
        <w:gridCol w:w="1129"/>
        <w:gridCol w:w="1035"/>
        <w:gridCol w:w="1223"/>
        <w:gridCol w:w="1882"/>
        <w:gridCol w:w="1600"/>
        <w:gridCol w:w="1882"/>
      </w:tblGrid>
      <w:tr>
        <w:trPr>
          <w:tblHeader/>
        </w:trPr>
        <w:tc>
          <w:tcPr>
            <w:tcW w:w="847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w="1129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Rent. cartera</w:t>
            </w:r>
          </w:p>
        </w:tc>
        <w:tc>
          <w:tcPr>
            <w:tcW w:w="1035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Rent. IPSA</w:t>
            </w:r>
          </w:p>
        </w:tc>
        <w:tc>
          <w:tcPr>
            <w:tcW w:w="1223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Lugar en ranking</w:t>
            </w:r>
          </w:p>
        </w:tc>
        <w:tc>
          <w:tcPr>
            <w:tcW w:w="1882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Qué funcionó</w:t>
            </w:r>
          </w:p>
        </w:tc>
        <w:tc>
          <w:tcPr>
            <w:tcW w:w="160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Qué no</w:t>
            </w:r>
          </w:p>
        </w:tc>
        <w:tc>
          <w:tcPr>
            <w:tcW w:w="1882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Ajuste decidido</w:t>
            </w: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84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S8</w:t>
            </w:r>
          </w:p>
        </w:tc>
        <w:tc>
          <w:tcPr>
            <w:tcW w:w="1129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03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223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60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  <w:tc>
          <w:tcPr>
            <w:tcW w:w="188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7" w:name="_h7"/>
      <w:r>
        <w:rPr/>
        <w:t xml:space="preserve">7. Post-mortem final</w:t>
      </w:r>
      <w:bookmarkEnd w:id="7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¿Qué ganancias vinieron de buen análisis y cuáles de suerte?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¿Qué sesgos cometimos?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¿Qué haríamos distinto?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¿Qué historia contaremos en una entrevista?</w:t>
      </w:r>
    </w:p>
    <w:sectPr>
      <w:headerReference w:type="default" r:id="rIdHdr"/>
      <w:footerReference w:type="default" r:id="rIdFtr"/>
      <w:pgSz w:w="12240" w:h="15840"/>
      <w:pgMar w:top="1300" w:right="1300" w:bottom="1200" w:left="1300" w:header="600" w:footer="6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7F7F7F"/>
        <w:sz w:val="18"/>
      </w:rPr>
      <w:t xml:space="preserve">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6" w:space="1" w:color="2E75B6"/>
      </w:pBdr>
      <w:jc w:val="right"/>
    </w:pPr>
    <w:r>
      <w:rPr>
        <w:color w:val="7F7F7F"/>
        <w:sz w:val="17"/>
        <w:szCs w:val="17"/>
      </w:rPr>
      <w:t xml:space="preserve">Plantilla de Estrategia · CCI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00"/>
      </w:pPr>
    </w:lvl>
    <w:lvl w:ilvl="2">
      <w:start w:val="1"/>
      <w:numFmt w:val="bullet"/>
      <w:lvlText w:val="▪"/>
      <w:lvlJc w:val="left"/>
      <w:pPr>
        <w:ind w:left="1600" w:hanging="3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300"/>
      </w:pPr>
    </w:lvl>
    <w:lvl w:ilvl="1">
      <w:start w:val="1"/>
      <w:numFmt w:val="lowerLetter"/>
      <w:lvlText w:val="%2)"/>
      <w:lvlJc w:val="left"/>
      <w:pPr>
        <w:ind w:left="1100" w:hanging="300"/>
      </w:pPr>
    </w:lvl>
    <w:lvl w:ilvl="2">
      <w:start w:val="1"/>
      <w:numFmt w:val="lowerRoman"/>
      <w:lvlText w:val="%3."/>
      <w:lvlJc w:val="left"/>
      <w:pPr>
        <w:ind w:left="1600" w:hanging="3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CL"/>
      </w:rPr>
    </w:rPrDefault>
    <w:pPrDefault>
      <w:pPr>
        <w:spacing w:after="110" w:line="264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8" w:space="2" w:color="2E75B6"/>
      </w:pBdr>
      <w:spacing w:before="240" w:after="16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pPr>
      <w:ind w:left="720"/>
      <w:jc w:val="left"/>
    </w:pPr>
  </w:style>
  <w:style w:type="paragraph" w:styleId="Formula">
    <w:name w:val="Formula"/>
    <w:basedOn w:val="Normal"/>
    <w:pPr>
      <w:shd w:val="clear" w:color="auto" w:fill="F2F2F2"/>
      <w:spacing w:before="60" w:after="60"/>
      <w:jc w:val="center"/>
    </w:pPr>
    <w:rPr>
      <w:color w:val="1F3864"/>
      <w:sz w:val="23"/>
    </w:rPr>
  </w:style>
  <w:style w:type="paragraph" w:styleId="TOC1">
    <w:name w:val="toc 1"/>
    <w:basedOn w:val="Normal"/>
    <w:next w:val="Normal"/>
    <w:pPr>
      <w:spacing w:after="60"/>
    </w:pPr>
    <w:rPr>
      <w:b/>
    </w:rPr>
  </w:style>
  <w:style w:type="paragraph" w:styleId="TOC2">
    <w:name w:val="toc 2"/>
    <w:basedOn w:val="Normal"/>
    <w:next w:val="Normal"/>
    <w:pPr>
      <w:spacing w:after="40"/>
      <w:ind w:left="30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 de Estrategia CCI</dc:title>
  <dc:creator>Guia CCI</dc:creator>
  <dcterms:created xsi:type="dcterms:W3CDTF">2026-10-18T22:42:12Z</dcterms:created>
</cp:coreProperties>
</file>