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900" w:line="276" w:lineRule="auto"/>
      </w:pPr>
      <w:r>
        <w:t xml:space="preserve"/>
      </w:r>
    </w:p>
    <w:p>
      <w:pPr>
        <w:pStyle w:val="Subtitle"/>
        <w:spacing w:before="0" w:after="50" w:line="276" w:lineRule="auto"/>
      </w:pPr>
      <w:r>
        <w:t xml:space="preserve">UNIVERSIDAD AUSTRAL DE CHILE</w:t>
      </w:r>
    </w:p>
    <w:p>
      <w:pPr>
        <w:pStyle w:val="Subtitle"/>
        <w:spacing w:before="0" w:after="600" w:line="276" w:lineRule="auto"/>
      </w:pPr>
      <w:r>
        <w:t xml:space="preserve">Facultad de Ciencias Económicas y Administrativas</w:t>
      </w:r>
    </w:p>
    <w:p>
      <w:pPr>
        <w:pStyle w:val="Subtitle"/>
        <w:spacing w:before="0" w:after="500" w:line="276" w:lineRule="auto"/>
      </w:pPr>
      <w:r>
        <w:t xml:space="preserve">Asignatura: Marketing Internacional – ADMI 203</w:t>
      </w:r>
    </w:p>
    <w:p>
      <w:pPr>
        <w:pStyle w:val="Title"/>
        <w:spacing w:before="0" w:after="80" w:line="276" w:lineRule="auto"/>
      </w:pPr>
      <w:r>
        <w:t xml:space="preserve">Selección y evaluación de mercados</w:t>
      </w:r>
    </w:p>
    <w:p>
      <w:pPr>
        <w:pStyle w:val="Subtitle"/>
        <w:spacing w:before="0" w:after="120" w:line="276" w:lineRule="auto"/>
      </w:pPr>
      <w:r>
        <w:t xml:space="preserve">Plan de internacionalización de Pinda Kombucha</w:t>
      </w:r>
    </w:p>
    <w:p>
      <w:pPr>
        <w:spacing w:before="0" w:after="700" w:line="276" w:lineRule="auto"/>
        <w:jc w:val="center"/>
      </w:pPr>
      <w:r>
        <w:rPr>
          <w:b/>
        </w:rPr>
        <w:t xml:space="preserve">Uruguay · Paraguay · Colombia · Estados Unidos</w:t>
      </w:r>
    </w:p>
    <w:p>
      <w:pPr>
        <w:spacing w:before="0" w:after="100" w:line="276" w:lineRule="auto"/>
        <w:jc w:val="center"/>
      </w:pPr>
      <w:r>
        <w:rPr>
          <w:b/>
        </w:rPr>
        <w:t xml:space="preserve">Integrantes</w:t>
      </w:r>
    </w:p>
    <w:p>
      <w:pPr>
        <w:spacing w:before="0" w:after="50" w:line="276" w:lineRule="auto"/>
        <w:jc w:val="center"/>
      </w:pPr>
      <w:r>
        <w:t xml:space="preserve">Vicente Altamirano A.</w:t>
      </w:r>
    </w:p>
    <w:p>
      <w:pPr>
        <w:spacing w:before="0" w:after="50" w:line="276" w:lineRule="auto"/>
        <w:jc w:val="center"/>
      </w:pPr>
      <w:r>
        <w:t xml:space="preserve">José Ignacio Barrientos R.</w:t>
      </w:r>
    </w:p>
    <w:p>
      <w:pPr>
        <w:spacing w:before="0" w:after="50" w:line="276" w:lineRule="auto"/>
        <w:jc w:val="center"/>
      </w:pPr>
      <w:r>
        <w:t xml:space="preserve">Cesar Langenbach R.</w:t>
      </w:r>
    </w:p>
    <w:p>
      <w:pPr>
        <w:spacing w:before="0" w:after="50" w:line="276" w:lineRule="auto"/>
        <w:jc w:val="center"/>
      </w:pPr>
      <w:r>
        <w:t xml:space="preserve">Matias Parra L.</w:t>
      </w:r>
    </w:p>
    <w:p>
      <w:pPr>
        <w:spacing w:before="0" w:after="50" w:line="276" w:lineRule="auto"/>
        <w:jc w:val="center"/>
      </w:pPr>
      <w:r>
        <w:t xml:space="preserve">Constanza Saldivia V.</w:t>
      </w:r>
    </w:p>
    <w:p>
      <w:pPr>
        <w:spacing w:before="0" w:after="500" w:line="276" w:lineRule="auto"/>
      </w:pPr>
      <w:r>
        <w:t xml:space="preserve"/>
      </w:r>
    </w:p>
    <w:p>
      <w:pPr>
        <w:spacing w:before="0" w:after="120" w:line="276" w:lineRule="auto"/>
        <w:jc w:val="center"/>
      </w:pPr>
      <w:r>
        <w:rPr>
          <w:i/>
          <w:color w:val="5F6368"/>
        </w:rPr>
        <w:t xml:space="preserve">Valdivia, [completar fecha]</w:t>
      </w:r>
    </w:p>
    <w:p>
      <w:r>
        <w:br w:type="page"/>
      </w:r>
    </w:p>
    <w:p>
      <w:pPr>
        <w:pStyle w:val="Heading1"/>
        <w:keepNext/>
        <w:spacing w:before="0" w:after="120" w:line="276" w:lineRule="auto"/>
      </w:pPr>
      <w:r>
        <w:t xml:space="preserve">Índice</w:t>
      </w:r>
    </w:p>
    <w:p>
      <w:pPr>
        <w:spacing w:after="120"/>
      </w:pPr>
      <w:r>
        <w:fldChar w:fldCharType="begin" w:dirty="true"/>
      </w:r>
      <w:r>
        <w:instrText xml:space="preserve"> TOC \o "1-3" \h \z \u </w:instrText>
      </w:r>
      <w:r>
        <w:fldChar w:fldCharType="separate"/>
      </w:r>
      <w:r>
        <w:rPr>
          <w:i/>
          <w:color w:val="5F6368"/>
        </w:rPr>
        <w:t xml:space="preserve">Clic derecho sobre el índice y «Actualizar campo» para generarlo.</w:t>
      </w:r>
      <w:r>
        <w:fldChar w:fldCharType="end"/>
      </w:r>
    </w:p>
    <w:p>
      <w:r>
        <w:br w:type="page"/>
      </w:r>
    </w:p>
    <w:p>
      <w:pPr>
        <w:pStyle w:val="Heading1"/>
        <w:keepNext/>
        <w:spacing w:before="0" w:after="120" w:line="276" w:lineRule="auto"/>
      </w:pPr>
      <w:r>
        <w:t xml:space="preserve">Nota metodológica</w:t>
      </w:r>
    </w:p>
    <w:p>
      <w:pPr>
        <w:spacing w:before="0" w:after="120" w:line="276" w:lineRule="auto"/>
        <w:jc w:val="both"/>
      </w:pPr>
      <w:r>
        <w:t xml:space="preserve">Para que cada afirmación resulte rastreable, los datos de este informe llevan una marca que distingue lo verificado de lo que aún debe confirmarse con fuente oficial.</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900"/>
        <w:gridCol w:w="1700"/>
        <w:gridCol w:w="6470"/>
      </w:tblGrid>
      <w:tr>
        <w:trPr>
          <w:tblHeader/>
          <w:cantSplit/>
        </w:trPr>
        <w:tc>
          <w:tcPr>
            <w:tcW w:w="9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Marca</w:t>
            </w:r>
          </w:p>
        </w:tc>
        <w:tc>
          <w:tcPr>
            <w:tcW w:w="17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Significado</w:t>
            </w:r>
          </w:p>
        </w:tc>
        <w:tc>
          <w:tcPr>
            <w:tcW w:w="64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Tratamiento</w:t>
            </w:r>
          </w:p>
        </w:tc>
      </w:tr>
      <w:tr>
        <w:trPr>
          <w:cantSplit/>
        </w:trPr>
        <w:tc>
          <w:tcPr>
            <w:tcW w:w="900" w:type="dxa"/>
            <w:vAlign w:val="center"/>
            <w:tcMar>
              <w:top w:w="80" w:type="dxa"/>
              <w:bottom w:w="80" w:type="dxa"/>
              <w:left w:w="110" w:type="dxa"/>
              <w:right w:w="110" w:type="dxa"/>
            </w:tcMar>
          </w:tcPr>
          <w:p>
            <w:pPr>
              <w:spacing w:before="0" w:after="0" w:line="276" w:lineRule="auto"/>
              <w:jc w:val="center"/>
            </w:pPr>
            <w:r>
              <w:rPr>
                <w:b/>
                <w:color w:val="1B5E20"/>
              </w:rPr>
              <w:t xml:space="preserve">[V]</w:t>
            </w:r>
          </w:p>
        </w:tc>
        <w:tc>
          <w:tcPr>
            <w:tcW w:w="1700" w:type="dxa"/>
            <w:vAlign w:val="center"/>
            <w:tcMar>
              <w:top w:w="80" w:type="dxa"/>
              <w:bottom w:w="80" w:type="dxa"/>
              <w:left w:w="110" w:type="dxa"/>
              <w:right w:w="110" w:type="dxa"/>
            </w:tcMar>
          </w:tcPr>
          <w:p>
            <w:pPr>
              <w:spacing w:before="0" w:after="0" w:line="276" w:lineRule="auto"/>
            </w:pPr>
            <w:r>
              <w:rPr>
                <w:b/>
              </w:rPr>
              <w:t xml:space="preserve">Verificado</w:t>
            </w:r>
          </w:p>
        </w:tc>
        <w:tc>
          <w:tcPr>
            <w:tcW w:w="6470" w:type="dxa"/>
            <w:vAlign w:val="center"/>
            <w:tcMar>
              <w:top w:w="80" w:type="dxa"/>
              <w:bottom w:w="80" w:type="dxa"/>
              <w:left w:w="110" w:type="dxa"/>
              <w:right w:w="110" w:type="dxa"/>
            </w:tcMar>
          </w:tcPr>
          <w:p>
            <w:pPr>
              <w:spacing w:before="0" w:after="0" w:line="276" w:lineRule="auto"/>
            </w:pPr>
            <w:r>
              <w:t xml:space="preserve">Fuente institucional o normativa citada. Citable sin reservas.</w:t>
            </w:r>
          </w:p>
        </w:tc>
      </w:tr>
      <w:tr>
        <w:trPr>
          <w:cantSplit/>
        </w:trPr>
        <w:tc>
          <w:tcPr>
            <w:tcW w:w="90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[P]</w:t>
            </w:r>
          </w:p>
        </w:tc>
        <w:tc>
          <w:tcPr>
            <w:tcW w:w="1700" w:type="dxa"/>
            <w:shd w:val="clear" w:color="auto" w:fill="F3F6F3"/>
            <w:vAlign w:val="center"/>
            <w:tcMar>
              <w:top w:w="80" w:type="dxa"/>
              <w:bottom w:w="80" w:type="dxa"/>
              <w:left w:w="110" w:type="dxa"/>
              <w:right w:w="110" w:type="dxa"/>
            </w:tcMar>
          </w:tcPr>
          <w:p>
            <w:pPr>
              <w:spacing w:before="0" w:after="0" w:line="276" w:lineRule="auto"/>
            </w:pPr>
            <w:r>
              <w:rPr>
                <w:b/>
              </w:rPr>
              <w:t xml:space="preserve">Prensa</w:t>
            </w:r>
          </w:p>
        </w:tc>
        <w:tc>
          <w:tcPr>
            <w:tcW w:w="6470" w:type="dxa"/>
            <w:shd w:val="clear" w:color="auto" w:fill="F3F6F3"/>
            <w:vAlign w:val="center"/>
            <w:tcMar>
              <w:top w:w="80" w:type="dxa"/>
              <w:bottom w:w="80" w:type="dxa"/>
              <w:left w:w="110" w:type="dxa"/>
              <w:right w:w="110" w:type="dxa"/>
            </w:tcMar>
          </w:tcPr>
          <w:p>
            <w:pPr>
              <w:spacing w:before="0" w:after="0" w:line="276" w:lineRule="auto"/>
            </w:pPr>
            <w:r>
              <w:t xml:space="preserve">Medio o prensa sectorial. Citable, conviene contrastar.</w:t>
            </w:r>
          </w:p>
        </w:tc>
      </w:tr>
      <w:tr>
        <w:trPr>
          <w:cantSplit/>
        </w:trPr>
        <w:tc>
          <w:tcPr>
            <w:tcW w:w="9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700" w:type="dxa"/>
            <w:vAlign w:val="center"/>
            <w:tcMar>
              <w:top w:w="80" w:type="dxa"/>
              <w:bottom w:w="80" w:type="dxa"/>
              <w:left w:w="110" w:type="dxa"/>
              <w:right w:w="110" w:type="dxa"/>
            </w:tcMar>
          </w:tcPr>
          <w:p>
            <w:pPr>
              <w:spacing w:before="0" w:after="0" w:line="276" w:lineRule="auto"/>
            </w:pPr>
            <w:r>
              <w:rPr>
                <w:b/>
                <w:color w:val="B3261E"/>
              </w:rPr>
              <w:t xml:space="preserve">Pendiente</w:t>
            </w:r>
          </w:p>
        </w:tc>
        <w:tc>
          <w:tcPr>
            <w:tcW w:w="6470" w:type="dxa"/>
            <w:vAlign w:val="center"/>
            <w:tcMar>
              <w:top w:w="80" w:type="dxa"/>
              <w:bottom w:w="80" w:type="dxa"/>
              <w:left w:w="110" w:type="dxa"/>
              <w:right w:w="110" w:type="dxa"/>
            </w:tcMar>
          </w:tcPr>
          <w:p>
            <w:pPr>
              <w:spacing w:before="0" w:after="0" w:line="276" w:lineRule="auto"/>
            </w:pPr>
            <w:r>
              <w:t xml:space="preserve">No obtenido de fuente oficial. No utilizar sin verificar.</w:t>
            </w:r>
          </w:p>
        </w:tc>
      </w:tr>
    </w:tbl>
    <w:p>
      <w:pPr>
        <w:spacing w:before="0" w:after="120" w:line="276" w:lineRule="auto"/>
      </w:pPr>
      <w:r>
        <w:t xml:space="preserve"/>
      </w:r>
    </w:p>
    <w:p>
      <w:pPr>
        <w:spacing w:before="0" w:after="200" w:line="276" w:lineRule="auto"/>
        <w:jc w:val="left"/>
      </w:pPr>
      <w:r>
        <w:rPr>
          <w:b/>
          <w:sz w:val="18"/>
        </w:rPr>
        <w:t xml:space="preserve">Tabla 1. </w:t>
      </w:r>
      <w:r>
        <w:rPr>
          <w:sz w:val="18"/>
        </w:rPr>
        <w:t xml:space="preserve">Convención de trazabilidad empleada en todo el documento.</w:t>
      </w:r>
    </w:p>
    <w:p>
      <w:pPr>
        <w:spacing w:before="0" w:after="120" w:line="276" w:lineRule="auto"/>
        <w:jc w:val="both"/>
      </w:pPr>
      <w:r>
        <w:t xml:space="preserve">Los puntajes de ambos modelos son </w:t>
      </w:r>
      <w:r>
        <w:rPr>
          <w:b/>
        </w:rPr>
        <w:t xml:space="preserve">valoraciones argumentadas, no mediciones</w:t>
      </w:r>
      <w:r>
        <w:t xml:space="preserve">. Cada uno expone su razonamiento para que pueda discutirse o ajustarse. Presentar una matriz de selección como si fuera un dato medido sería el principal error metodológico de este punto.</w:t>
      </w:r>
    </w:p>
    <w:p>
      <w:pPr>
        <w:pStyle w:val="Quote"/>
        <w:spacing w:before="0" w:after="120" w:line="276" w:lineRule="auto"/>
        <w:jc w:val="both"/>
      </w:pPr>
      <w:r>
        <w:rPr>
          <w:b/>
        </w:rPr>
        <w:t xml:space="preserve">Fuente descartada. </w:t>
      </w:r>
      <w:r>
        <w:t xml:space="preserve">Se consultaron cinco agregadores de informes de mercado para el tamaño global de la kombucha en 2025, que devuelven USD 2,90 / 3,25 / 4,74 / 5,19 / 9,60 mil millones. Divergen hasta tres veces para el mismo año y ninguno publica su metodología, por lo que </w:t>
      </w:r>
      <w:r>
        <w:rPr>
          <w:b/>
        </w:rPr>
        <w:t xml:space="preserve">no se utiliza ninguna de esas cifras</w:t>
      </w:r>
      <w:r>
        <w:t xml:space="preserve">. El criterio de tamaño se construye con datos de importación de la partida arancelaria y con población.</w:t>
      </w:r>
    </w:p>
    <w:p>
      <w:r>
        <w:br w:type="page"/>
      </w:r>
    </w:p>
    <w:p>
      <w:pPr>
        <w:pStyle w:val="Heading1"/>
        <w:keepNext/>
        <w:spacing w:before="0" w:after="120" w:line="276" w:lineRule="auto"/>
      </w:pPr>
      <w:r>
        <w:t xml:space="preserve">1. Selección y evaluación de mercados</w:t>
      </w:r>
    </w:p>
    <w:p>
      <w:pPr>
        <w:spacing w:before="0" w:after="120" w:line="276" w:lineRule="auto"/>
        <w:jc w:val="both"/>
      </w:pPr>
      <w:r>
        <w:t xml:space="preserve">Este punto evalúa cuatro mercados candidatos mediante dos modelos complementarios y cierra con la decisión de producto-mercado. Se aplican primero el modelo de Papadopoulos, que estima atractivo comercial, y luego el modelo CAGE, que mide distancia entre origen y destino. La lectura conjunta de ambos sustenta la matriz del apartado 1.c.</w:t>
      </w:r>
    </w:p>
    <w:p>
      <w:pPr>
        <w:pStyle w:val="Heading2"/>
        <w:keepNext/>
        <w:spacing w:before="240" w:after="120" w:line="276" w:lineRule="auto"/>
      </w:pPr>
      <w:r>
        <w:t xml:space="preserve">Premisa: clasificación arancelaria del producto</w:t>
      </w:r>
    </w:p>
    <w:p>
      <w:pPr>
        <w:spacing w:before="0" w:after="120" w:line="276" w:lineRule="auto"/>
        <w:jc w:val="both"/>
      </w:pPr>
      <w:r>
        <w:t xml:space="preserve">La evaluación de los cuatro mercados exige fijar antes la partida arancelaria, porque de ella dependen los datos de importación, los aranceles aplicables y las barreras. Su desarrollo completo corresponde al apartado </w:t>
      </w:r>
      <w:r>
        <w:rPr>
          <w:b/>
        </w:rPr>
        <w:t xml:space="preserve">3.a-b (Código SACH y sistema armonizado local)</w:t>
      </w:r>
      <w:r>
        <w:t xml:space="preserve">; aquí se consigna como premisa de trabajo.</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3400"/>
        <w:gridCol w:w="4870"/>
        <w:gridCol w:w="800"/>
      </w:tblGrid>
      <w:tr>
        <w:trPr>
          <w:tblHeader/>
          <w:cantSplit/>
        </w:trPr>
        <w:tc>
          <w:tcPr>
            <w:tcW w:w="34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Concepto</w:t>
            </w:r>
          </w:p>
        </w:tc>
        <w:tc>
          <w:tcPr>
            <w:tcW w:w="48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Valor</w:t>
            </w:r>
          </w:p>
        </w:tc>
        <w:tc>
          <w:tcPr>
            <w:tcW w:w="8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Marca</w:t>
            </w:r>
          </w:p>
        </w:tc>
      </w:tr>
      <w:tr>
        <w:trPr>
          <w:cantSplit/>
        </w:trPr>
        <w:tc>
          <w:tcPr>
            <w:tcW w:w="3400" w:type="dxa"/>
            <w:vAlign w:val="center"/>
            <w:tcMar>
              <w:top w:w="80" w:type="dxa"/>
              <w:bottom w:w="80" w:type="dxa"/>
              <w:left w:w="110" w:type="dxa"/>
              <w:right w:w="110" w:type="dxa"/>
            </w:tcMar>
          </w:tcPr>
          <w:p>
            <w:pPr>
              <w:spacing w:before="0" w:after="0" w:line="276" w:lineRule="auto"/>
            </w:pPr>
            <w:r>
              <w:t xml:space="preserve">Partida (6 dígitos, Sistema Armonizado)</w:t>
            </w:r>
          </w:p>
        </w:tc>
        <w:tc>
          <w:tcPr>
            <w:tcW w:w="4870" w:type="dxa"/>
            <w:vAlign w:val="center"/>
            <w:tcMar>
              <w:top w:w="80" w:type="dxa"/>
              <w:bottom w:w="80" w:type="dxa"/>
              <w:left w:w="110" w:type="dxa"/>
              <w:right w:w="110" w:type="dxa"/>
            </w:tcMar>
          </w:tcPr>
          <w:p>
            <w:pPr>
              <w:spacing w:before="0" w:after="0" w:line="276" w:lineRule="auto"/>
            </w:pPr>
            <w:r>
              <w:rPr>
                <w:b/>
                <w:rFonts w:ascii="Consolas" w:hAnsi="Consolas"/>
              </w:rPr>
              <w:t xml:space="preserve">2202.99</w:t>
            </w:r>
          </w:p>
        </w:tc>
        <w:tc>
          <w:tcPr>
            <w:tcW w:w="800" w:type="dxa"/>
            <w:vAlign w:val="center"/>
            <w:tcMar>
              <w:top w:w="80" w:type="dxa"/>
              <w:bottom w:w="80" w:type="dxa"/>
              <w:left w:w="110" w:type="dxa"/>
              <w:right w:w="110" w:type="dxa"/>
            </w:tcMar>
          </w:tcPr>
          <w:p>
            <w:pPr>
              <w:spacing w:before="0" w:after="0" w:line="276" w:lineRule="auto"/>
              <w:jc w:val="center"/>
            </w:pPr>
            <w:r>
              <w:rPr>
                <w:b/>
                <w:color w:val="1B5E20"/>
              </w:rPr>
              <w:t xml:space="preserve">[V]</w:t>
            </w:r>
          </w:p>
        </w:tc>
      </w:tr>
      <w:tr>
        <w:trPr>
          <w:cantSplit/>
        </w:trPr>
        <w:tc>
          <w:tcPr>
            <w:tcW w:w="3400" w:type="dxa"/>
            <w:shd w:val="clear" w:color="auto" w:fill="F3F6F3"/>
            <w:vAlign w:val="center"/>
            <w:tcMar>
              <w:top w:w="80" w:type="dxa"/>
              <w:bottom w:w="80" w:type="dxa"/>
              <w:left w:w="110" w:type="dxa"/>
              <w:right w:w="110" w:type="dxa"/>
            </w:tcMar>
          </w:tcPr>
          <w:p>
            <w:pPr>
              <w:spacing w:before="0" w:after="0" w:line="276" w:lineRule="auto"/>
            </w:pPr>
            <w:r>
              <w:t xml:space="preserve">NCM Mercosur (8 dígitos)</w:t>
            </w:r>
          </w:p>
        </w:tc>
        <w:tc>
          <w:tcPr>
            <w:tcW w:w="4870" w:type="dxa"/>
            <w:shd w:val="clear" w:color="auto" w:fill="F3F6F3"/>
            <w:vAlign w:val="center"/>
            <w:tcMar>
              <w:top w:w="80" w:type="dxa"/>
              <w:bottom w:w="80" w:type="dxa"/>
              <w:left w:w="110" w:type="dxa"/>
              <w:right w:w="110" w:type="dxa"/>
            </w:tcMar>
          </w:tcPr>
          <w:p>
            <w:pPr>
              <w:spacing w:before="0" w:after="0" w:line="276" w:lineRule="auto"/>
            </w:pPr>
            <w:r>
              <w:rPr>
                <w:b/>
                <w:rFonts w:ascii="Consolas" w:hAnsi="Consolas"/>
              </w:rPr>
              <w:t xml:space="preserve">2202.99.00</w:t>
            </w:r>
          </w:p>
        </w:tc>
        <w:tc>
          <w:tcPr>
            <w:tcW w:w="800" w:type="dxa"/>
            <w:shd w:val="clear" w:color="auto" w:fill="F3F6F3"/>
            <w:vAlign w:val="center"/>
            <w:tcMar>
              <w:top w:w="80" w:type="dxa"/>
              <w:bottom w:w="80" w:type="dxa"/>
              <w:left w:w="110" w:type="dxa"/>
              <w:right w:w="110" w:type="dxa"/>
            </w:tcMar>
          </w:tcPr>
          <w:p>
            <w:pPr>
              <w:spacing w:before="0" w:after="0" w:line="276" w:lineRule="auto"/>
              <w:jc w:val="center"/>
            </w:pPr>
            <w:r>
              <w:rPr>
                <w:b/>
                <w:color w:val="1B5E20"/>
              </w:rPr>
              <w:t xml:space="preserve">[V]</w:t>
            </w:r>
          </w:p>
        </w:tc>
      </w:tr>
      <w:tr>
        <w:trPr>
          <w:cantSplit/>
        </w:trPr>
        <w:tc>
          <w:tcPr>
            <w:tcW w:w="3400" w:type="dxa"/>
            <w:vAlign w:val="center"/>
            <w:tcMar>
              <w:top w:w="80" w:type="dxa"/>
              <w:bottom w:w="80" w:type="dxa"/>
              <w:left w:w="110" w:type="dxa"/>
              <w:right w:w="110" w:type="dxa"/>
            </w:tcMar>
          </w:tcPr>
          <w:p>
            <w:pPr>
              <w:spacing w:before="0" w:after="0" w:line="276" w:lineRule="auto"/>
            </w:pPr>
            <w:r>
              <w:t xml:space="preserve">Capítulo</w:t>
            </w:r>
          </w:p>
        </w:tc>
        <w:tc>
          <w:tcPr>
            <w:tcW w:w="4870" w:type="dxa"/>
            <w:vAlign w:val="center"/>
            <w:tcMar>
              <w:top w:w="80" w:type="dxa"/>
              <w:bottom w:w="80" w:type="dxa"/>
              <w:left w:w="110" w:type="dxa"/>
              <w:right w:w="110" w:type="dxa"/>
            </w:tcMar>
          </w:tcPr>
          <w:p>
            <w:pPr>
              <w:spacing w:before="0" w:after="0" w:line="276" w:lineRule="auto"/>
            </w:pPr>
            <w:r>
              <w:t xml:space="preserve">22 — Bebidas, líquidos alcohólicos y vinagre</w:t>
            </w:r>
          </w:p>
        </w:tc>
        <w:tc>
          <w:tcPr>
            <w:tcW w:w="800" w:type="dxa"/>
            <w:vAlign w:val="center"/>
            <w:tcMar>
              <w:top w:w="80" w:type="dxa"/>
              <w:bottom w:w="80" w:type="dxa"/>
              <w:left w:w="110" w:type="dxa"/>
              <w:right w:w="110" w:type="dxa"/>
            </w:tcMar>
          </w:tcPr>
          <w:p>
            <w:pPr>
              <w:spacing w:before="0" w:after="0" w:line="276" w:lineRule="auto"/>
              <w:jc w:val="center"/>
            </w:pPr>
            <w:r>
              <w:rPr>
                <w:b/>
                <w:color w:val="1B5E20"/>
              </w:rPr>
              <w:t xml:space="preserve">[V]</w:t>
            </w:r>
          </w:p>
        </w:tc>
      </w:tr>
      <w:tr>
        <w:trPr>
          <w:cantSplit/>
        </w:trPr>
        <w:tc>
          <w:tcPr>
            <w:tcW w:w="3400" w:type="dxa"/>
            <w:shd w:val="clear" w:color="auto" w:fill="F3F6F3"/>
            <w:vAlign w:val="center"/>
            <w:tcMar>
              <w:top w:w="80" w:type="dxa"/>
              <w:bottom w:w="80" w:type="dxa"/>
              <w:left w:w="110" w:type="dxa"/>
              <w:right w:w="110" w:type="dxa"/>
            </w:tcMar>
          </w:tcPr>
          <w:p>
            <w:pPr>
              <w:spacing w:before="0" w:after="0" w:line="276" w:lineRule="auto"/>
            </w:pPr>
            <w:r>
              <w:t xml:space="preserve">Código SACH de Chile (8 dígitos)</w:t>
            </w:r>
          </w:p>
        </w:tc>
        <w:tc>
          <w:tcPr>
            <w:tcW w:w="4870" w:type="dxa"/>
            <w:shd w:val="clear" w:color="auto" w:fill="F3F6F3"/>
            <w:vAlign w:val="center"/>
            <w:tcMar>
              <w:top w:w="80" w:type="dxa"/>
              <w:bottom w:w="80" w:type="dxa"/>
              <w:left w:w="110" w:type="dxa"/>
              <w:right w:w="110" w:type="dxa"/>
            </w:tcMar>
          </w:tcPr>
          <w:p>
            <w:pPr>
              <w:spacing w:before="0" w:after="0" w:line="276" w:lineRule="auto"/>
            </w:pPr>
            <w:r>
              <w:rPr>
                <w:color w:val="B3261E"/>
              </w:rPr>
              <w:t xml:space="preserve">Pendiente: se desarrolla en 3.a</w:t>
            </w:r>
          </w:p>
        </w:tc>
        <w:tc>
          <w:tcPr>
            <w:tcW w:w="8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r>
    </w:tbl>
    <w:p>
      <w:pPr>
        <w:spacing w:before="0" w:after="120" w:line="276" w:lineRule="auto"/>
      </w:pPr>
      <w:r>
        <w:t xml:space="preserve"/>
      </w:r>
    </w:p>
    <w:p>
      <w:pPr>
        <w:spacing w:before="0" w:after="200" w:line="276" w:lineRule="auto"/>
        <w:jc w:val="left"/>
      </w:pPr>
      <w:r>
        <w:rPr>
          <w:b/>
          <w:sz w:val="18"/>
        </w:rPr>
        <w:t xml:space="preserve">Tabla 2. </w:t>
      </w:r>
      <w:r>
        <w:rPr>
          <w:sz w:val="18"/>
        </w:rPr>
        <w:t xml:space="preserve">Clasificación arancelaria empleada como premisa de la evaluación.</w:t>
      </w:r>
    </w:p>
    <w:p>
      <w:pPr>
        <w:spacing w:before="0" w:after="120" w:line="276" w:lineRule="auto"/>
        <w:jc w:val="both"/>
      </w:pPr>
      <w:r>
        <w:rPr>
          <w:b/>
        </w:rPr>
        <w:t xml:space="preserve">Fundamento </w:t>
      </w:r>
      <w:r>
        <w:rPr>
          <w:b/>
          <w:color w:val="1B5E20"/>
        </w:rPr>
        <w:t xml:space="preserve">[V]</w:t>
      </w:r>
      <w:r>
        <w:rPr>
          <w:b/>
        </w:rPr>
        <w:t xml:space="preserve">. </w:t>
      </w:r>
      <w:r>
        <w:t xml:space="preserve">La Receita Federal de Brasil resolvió la clasificación de la kombucha mediante consultas vinculantes (Soluções de Consulta COSIT n.º 98316/2019 y n.º 98130/2020), que la describen como bebida no alcohólica lista para el consumo, fermentada con cultivo simbiótico de bacterias y levaduras (SCOBY) a base de té, con contenido alcohólico entre 0,1 % y 0,3 %. Ese contenido la excluye del capítulo de bebidas fermentadas alcohólicas (2206) y la sitúa en la partida 2202. Los primeros seis dígitos son idénticos en cualquier país; los dígitos adicionales varían y deben buscarse en el arancel de cada destino.</w:t>
      </w:r>
    </w:p>
    <w:p>
      <w:r>
        <w:br w:type="page"/>
      </w:r>
    </w:p>
    <w:p>
      <w:pPr>
        <w:pStyle w:val="Heading2"/>
        <w:keepNext/>
        <w:spacing w:before="0" w:after="120" w:line="276" w:lineRule="auto"/>
      </w:pPr>
      <w:r>
        <w:t xml:space="preserve">1.a  Modelo Papadopoulos</w:t>
      </w:r>
    </w:p>
    <w:p>
      <w:pPr>
        <w:spacing w:before="0" w:after="120" w:line="276" w:lineRule="auto"/>
        <w:jc w:val="both"/>
      </w:pPr>
      <w:r>
        <w:t xml:space="preserve">El modelo de Papadopoulos estima el atractivo comercial de cada mercado mediante un índice ponderado. Se aplica sobre las variables definidas en la asignatura, con escala de 1 (muy desfavorable) a 5 (muy favorable). Las ponderaciones suman 100 % y se justifican en la última columna.</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250"/>
        <w:gridCol w:w="620"/>
        <w:gridCol w:w="480"/>
        <w:gridCol w:w="480"/>
        <w:gridCol w:w="480"/>
        <w:gridCol w:w="480"/>
        <w:gridCol w:w="4280"/>
      </w:tblGrid>
      <w:tr>
        <w:trPr>
          <w:tblHeader/>
          <w:cantSplit/>
        </w:trPr>
        <w:tc>
          <w:tcPr>
            <w:tcW w:w="22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Variable</w:t>
            </w:r>
          </w:p>
        </w:tc>
        <w:tc>
          <w:tcPr>
            <w:tcW w:w="62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Peso</w:t>
            </w:r>
          </w:p>
        </w:tc>
        <w:tc>
          <w:tcPr>
            <w:tcW w:w="48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UY</w:t>
            </w:r>
          </w:p>
        </w:tc>
        <w:tc>
          <w:tcPr>
            <w:tcW w:w="48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PY</w:t>
            </w:r>
          </w:p>
        </w:tc>
        <w:tc>
          <w:tcPr>
            <w:tcW w:w="48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CO</w:t>
            </w:r>
          </w:p>
        </w:tc>
        <w:tc>
          <w:tcPr>
            <w:tcW w:w="48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US</w:t>
            </w:r>
          </w:p>
        </w:tc>
        <w:tc>
          <w:tcPr>
            <w:tcW w:w="428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Justificación del peso</w:t>
            </w:r>
          </w:p>
        </w:tc>
      </w:tr>
      <w:tr>
        <w:trPr>
          <w:cantSplit/>
        </w:trPr>
        <w:tc>
          <w:tcPr>
            <w:tcW w:w="2250" w:type="dxa"/>
            <w:vAlign w:val="center"/>
            <w:tcMar>
              <w:top w:w="80" w:type="dxa"/>
              <w:bottom w:w="80" w:type="dxa"/>
              <w:left w:w="110" w:type="dxa"/>
              <w:right w:w="110" w:type="dxa"/>
            </w:tcMar>
          </w:tcPr>
          <w:p>
            <w:pPr>
              <w:spacing w:before="0" w:after="0" w:line="276" w:lineRule="auto"/>
            </w:pPr>
            <w:r>
              <w:t xml:space="preserve">Demanda potencial (tamaño)</w:t>
            </w:r>
          </w:p>
        </w:tc>
        <w:tc>
          <w:tcPr>
            <w:tcW w:w="620" w:type="dxa"/>
            <w:vAlign w:val="center"/>
            <w:tcMar>
              <w:top w:w="80" w:type="dxa"/>
              <w:bottom w:w="80" w:type="dxa"/>
              <w:left w:w="110" w:type="dxa"/>
              <w:right w:w="110" w:type="dxa"/>
            </w:tcMar>
          </w:tcPr>
          <w:p>
            <w:pPr>
              <w:spacing w:before="0" w:after="0" w:line="276" w:lineRule="auto"/>
              <w:jc w:val="center"/>
            </w:pPr>
            <w:r>
              <w:t xml:space="preserve">20 %</w:t>
            </w:r>
          </w:p>
        </w:tc>
        <w:tc>
          <w:tcPr>
            <w:tcW w:w="480" w:type="dxa"/>
            <w:vAlign w:val="center"/>
            <w:tcMar>
              <w:top w:w="80" w:type="dxa"/>
              <w:bottom w:w="80" w:type="dxa"/>
              <w:left w:w="110" w:type="dxa"/>
              <w:right w:w="110" w:type="dxa"/>
            </w:tcMar>
          </w:tcPr>
          <w:p>
            <w:pPr>
              <w:spacing w:before="0" w:after="0" w:line="276" w:lineRule="auto"/>
              <w:jc w:val="center"/>
            </w:pPr>
            <w:r>
              <w:t xml:space="preserve">1</w:t>
            </w:r>
          </w:p>
        </w:tc>
        <w:tc>
          <w:tcPr>
            <w:tcW w:w="480" w:type="dxa"/>
            <w:vAlign w:val="center"/>
            <w:tcMar>
              <w:top w:w="80" w:type="dxa"/>
              <w:bottom w:w="80" w:type="dxa"/>
              <w:left w:w="110" w:type="dxa"/>
              <w:right w:w="110" w:type="dxa"/>
            </w:tcMar>
          </w:tcPr>
          <w:p>
            <w:pPr>
              <w:spacing w:before="0" w:after="0" w:line="276" w:lineRule="auto"/>
              <w:jc w:val="center"/>
            </w:pPr>
            <w:r>
              <w:t xml:space="preserve">2</w:t>
            </w:r>
          </w:p>
        </w:tc>
        <w:tc>
          <w:tcPr>
            <w:tcW w:w="480" w:type="dxa"/>
            <w:vAlign w:val="center"/>
            <w:tcMar>
              <w:top w:w="80" w:type="dxa"/>
              <w:bottom w:w="80" w:type="dxa"/>
              <w:left w:w="110" w:type="dxa"/>
              <w:right w:w="110" w:type="dxa"/>
            </w:tcMar>
          </w:tcPr>
          <w:p>
            <w:pPr>
              <w:spacing w:before="0" w:after="0" w:line="276" w:lineRule="auto"/>
              <w:jc w:val="center"/>
            </w:pPr>
            <w:r>
              <w:t xml:space="preserve">4</w:t>
            </w:r>
          </w:p>
        </w:tc>
        <w:tc>
          <w:tcPr>
            <w:tcW w:w="480" w:type="dxa"/>
            <w:vAlign w:val="center"/>
            <w:tcMar>
              <w:top w:w="80" w:type="dxa"/>
              <w:bottom w:w="80" w:type="dxa"/>
              <w:left w:w="110" w:type="dxa"/>
              <w:right w:w="110" w:type="dxa"/>
            </w:tcMar>
          </w:tcPr>
          <w:p>
            <w:pPr>
              <w:spacing w:before="0" w:after="0" w:line="276" w:lineRule="auto"/>
              <w:jc w:val="center"/>
            </w:pPr>
            <w:r>
              <w:t xml:space="preserve">5</w:t>
            </w:r>
          </w:p>
        </w:tc>
        <w:tc>
          <w:tcPr>
            <w:tcW w:w="4280" w:type="dxa"/>
            <w:vAlign w:val="center"/>
            <w:tcMar>
              <w:top w:w="80" w:type="dxa"/>
              <w:bottom w:w="80" w:type="dxa"/>
              <w:left w:w="110" w:type="dxa"/>
              <w:right w:w="110" w:type="dxa"/>
            </w:tcMar>
          </w:tcPr>
          <w:p>
            <w:pPr>
              <w:spacing w:before="0" w:after="0" w:line="276" w:lineRule="auto"/>
            </w:pPr>
            <w:r>
              <w:t xml:space="preserve">Determina el techo de volumen alcanzable</w:t>
            </w:r>
          </w:p>
        </w:tc>
      </w:tr>
      <w:tr>
        <w:trPr>
          <w:cantSplit/>
        </w:trPr>
        <w:tc>
          <w:tcPr>
            <w:tcW w:w="2250" w:type="dxa"/>
            <w:shd w:val="clear" w:color="auto" w:fill="F3F6F3"/>
            <w:vAlign w:val="center"/>
            <w:tcMar>
              <w:top w:w="80" w:type="dxa"/>
              <w:bottom w:w="80" w:type="dxa"/>
              <w:left w:w="110" w:type="dxa"/>
              <w:right w:w="110" w:type="dxa"/>
            </w:tcMar>
          </w:tcPr>
          <w:p>
            <w:pPr>
              <w:spacing w:before="0" w:after="0" w:line="276" w:lineRule="auto"/>
            </w:pPr>
            <w:r>
              <w:t xml:space="preserve">Consumo estimado de la categoría</w:t>
            </w:r>
          </w:p>
        </w:tc>
        <w:tc>
          <w:tcPr>
            <w:tcW w:w="620" w:type="dxa"/>
            <w:shd w:val="clear" w:color="auto" w:fill="F3F6F3"/>
            <w:vAlign w:val="center"/>
            <w:tcMar>
              <w:top w:w="80" w:type="dxa"/>
              <w:bottom w:w="80" w:type="dxa"/>
              <w:left w:w="110" w:type="dxa"/>
              <w:right w:w="110" w:type="dxa"/>
            </w:tcMar>
          </w:tcPr>
          <w:p>
            <w:pPr>
              <w:spacing w:before="0" w:after="0" w:line="276" w:lineRule="auto"/>
              <w:jc w:val="center"/>
            </w:pPr>
            <w:r>
              <w:t xml:space="preserve">15 %</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3</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3</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5</w:t>
            </w:r>
          </w:p>
        </w:tc>
        <w:tc>
          <w:tcPr>
            <w:tcW w:w="4280" w:type="dxa"/>
            <w:shd w:val="clear" w:color="auto" w:fill="F3F6F3"/>
            <w:vAlign w:val="center"/>
            <w:tcMar>
              <w:top w:w="80" w:type="dxa"/>
              <w:bottom w:w="80" w:type="dxa"/>
              <w:left w:w="110" w:type="dxa"/>
              <w:right w:w="110" w:type="dxa"/>
            </w:tcMar>
          </w:tcPr>
          <w:p>
            <w:pPr>
              <w:spacing w:before="0" w:after="0" w:line="276" w:lineRule="auto"/>
            </w:pPr>
            <w:r>
              <w:t xml:space="preserve">Mide si es necesario educar el mercado</w:t>
            </w:r>
          </w:p>
        </w:tc>
      </w:tr>
      <w:tr>
        <w:trPr>
          <w:cantSplit/>
        </w:trPr>
        <w:tc>
          <w:tcPr>
            <w:tcW w:w="2250" w:type="dxa"/>
            <w:vAlign w:val="center"/>
            <w:tcMar>
              <w:top w:w="80" w:type="dxa"/>
              <w:bottom w:w="80" w:type="dxa"/>
              <w:left w:w="110" w:type="dxa"/>
              <w:right w:w="110" w:type="dxa"/>
            </w:tcMar>
          </w:tcPr>
          <w:p>
            <w:pPr>
              <w:spacing w:before="0" w:after="0" w:line="276" w:lineRule="auto"/>
            </w:pPr>
            <w:r>
              <w:t xml:space="preserve">Penetración de importaciones</w:t>
            </w:r>
          </w:p>
        </w:tc>
        <w:tc>
          <w:tcPr>
            <w:tcW w:w="620" w:type="dxa"/>
            <w:vAlign w:val="center"/>
            <w:tcMar>
              <w:top w:w="80" w:type="dxa"/>
              <w:bottom w:w="80" w:type="dxa"/>
              <w:left w:w="110" w:type="dxa"/>
              <w:right w:w="110" w:type="dxa"/>
            </w:tcMar>
          </w:tcPr>
          <w:p>
            <w:pPr>
              <w:spacing w:before="0" w:after="0" w:line="276" w:lineRule="auto"/>
              <w:jc w:val="center"/>
            </w:pPr>
            <w:r>
              <w:t xml:space="preserve">15 %</w:t>
            </w:r>
          </w:p>
        </w:tc>
        <w:tc>
          <w:tcPr>
            <w:tcW w:w="480" w:type="dxa"/>
            <w:vAlign w:val="center"/>
            <w:tcMar>
              <w:top w:w="80" w:type="dxa"/>
              <w:bottom w:w="80" w:type="dxa"/>
              <w:left w:w="110" w:type="dxa"/>
              <w:right w:w="110" w:type="dxa"/>
            </w:tcMar>
          </w:tcPr>
          <w:p>
            <w:pPr>
              <w:spacing w:before="0" w:after="0" w:line="276" w:lineRule="auto"/>
              <w:jc w:val="center"/>
            </w:pPr>
            <w:r>
              <w:t xml:space="preserve">4</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4</w:t>
            </w:r>
          </w:p>
        </w:tc>
        <w:tc>
          <w:tcPr>
            <w:tcW w:w="4280" w:type="dxa"/>
            <w:vAlign w:val="center"/>
            <w:tcMar>
              <w:top w:w="80" w:type="dxa"/>
              <w:bottom w:w="80" w:type="dxa"/>
              <w:left w:w="110" w:type="dxa"/>
              <w:right w:w="110" w:type="dxa"/>
            </w:tcMar>
          </w:tcPr>
          <w:p>
            <w:pPr>
              <w:spacing w:before="0" w:after="0" w:line="276" w:lineRule="auto"/>
            </w:pPr>
            <w:r>
              <w:t xml:space="preserve">Indica apertura real al producto importado</w:t>
            </w:r>
          </w:p>
        </w:tc>
      </w:tr>
      <w:tr>
        <w:trPr>
          <w:cantSplit/>
        </w:trPr>
        <w:tc>
          <w:tcPr>
            <w:tcW w:w="2250" w:type="dxa"/>
            <w:shd w:val="clear" w:color="auto" w:fill="F3F6F3"/>
            <w:vAlign w:val="center"/>
            <w:tcMar>
              <w:top w:w="80" w:type="dxa"/>
              <w:bottom w:w="80" w:type="dxa"/>
              <w:left w:w="110" w:type="dxa"/>
              <w:right w:w="110" w:type="dxa"/>
            </w:tcMar>
          </w:tcPr>
          <w:p>
            <w:pPr>
              <w:spacing w:before="0" w:after="0" w:line="276" w:lineRule="auto"/>
            </w:pPr>
            <w:r>
              <w:t xml:space="preserve">Ventajas de origen</w:t>
            </w:r>
          </w:p>
        </w:tc>
        <w:tc>
          <w:tcPr>
            <w:tcW w:w="620" w:type="dxa"/>
            <w:shd w:val="clear" w:color="auto" w:fill="F3F6F3"/>
            <w:vAlign w:val="center"/>
            <w:tcMar>
              <w:top w:w="80" w:type="dxa"/>
              <w:bottom w:w="80" w:type="dxa"/>
              <w:left w:w="110" w:type="dxa"/>
              <w:right w:w="110" w:type="dxa"/>
            </w:tcMar>
          </w:tcPr>
          <w:p>
            <w:pPr>
              <w:spacing w:before="0" w:after="0" w:line="276" w:lineRule="auto"/>
              <w:jc w:val="center"/>
            </w:pPr>
            <w:r>
              <w:t xml:space="preserve">15 %</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3</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5</w:t>
            </w:r>
          </w:p>
        </w:tc>
        <w:tc>
          <w:tcPr>
            <w:tcW w:w="4280" w:type="dxa"/>
            <w:shd w:val="clear" w:color="auto" w:fill="F3F6F3"/>
            <w:vAlign w:val="center"/>
            <w:tcMar>
              <w:top w:w="80" w:type="dxa"/>
              <w:bottom w:w="80" w:type="dxa"/>
              <w:left w:w="110" w:type="dxa"/>
              <w:right w:w="110" w:type="dxa"/>
            </w:tcMar>
          </w:tcPr>
          <w:p>
            <w:pPr>
              <w:spacing w:before="0" w:after="0" w:line="276" w:lineRule="auto"/>
            </w:pPr>
            <w:r>
              <w:t xml:space="preserve">Constituye el activo central de Pinda</w:t>
            </w:r>
          </w:p>
        </w:tc>
      </w:tr>
      <w:tr>
        <w:trPr>
          <w:cantSplit/>
        </w:trPr>
        <w:tc>
          <w:tcPr>
            <w:tcW w:w="2250" w:type="dxa"/>
            <w:vAlign w:val="center"/>
            <w:tcMar>
              <w:top w:w="80" w:type="dxa"/>
              <w:bottom w:w="80" w:type="dxa"/>
              <w:left w:w="110" w:type="dxa"/>
              <w:right w:w="110" w:type="dxa"/>
            </w:tcMar>
          </w:tcPr>
          <w:p>
            <w:pPr>
              <w:spacing w:before="0" w:after="0" w:line="276" w:lineRule="auto"/>
            </w:pPr>
            <w:r>
              <w:t xml:space="preserve">Similitud de mercado</w:t>
            </w:r>
          </w:p>
        </w:tc>
        <w:tc>
          <w:tcPr>
            <w:tcW w:w="620" w:type="dxa"/>
            <w:vAlign w:val="center"/>
            <w:tcMar>
              <w:top w:w="80" w:type="dxa"/>
              <w:bottom w:w="80" w:type="dxa"/>
              <w:left w:w="110" w:type="dxa"/>
              <w:right w:w="110" w:type="dxa"/>
            </w:tcMar>
          </w:tcPr>
          <w:p>
            <w:pPr>
              <w:spacing w:before="0" w:after="0" w:line="276" w:lineRule="auto"/>
              <w:jc w:val="center"/>
            </w:pPr>
            <w:r>
              <w:t xml:space="preserve">10 %</w:t>
            </w:r>
          </w:p>
        </w:tc>
        <w:tc>
          <w:tcPr>
            <w:tcW w:w="480" w:type="dxa"/>
            <w:vAlign w:val="center"/>
            <w:tcMar>
              <w:top w:w="80" w:type="dxa"/>
              <w:bottom w:w="80" w:type="dxa"/>
              <w:left w:w="110" w:type="dxa"/>
              <w:right w:w="110" w:type="dxa"/>
            </w:tcMar>
          </w:tcPr>
          <w:p>
            <w:pPr>
              <w:spacing w:before="0" w:after="0" w:line="276" w:lineRule="auto"/>
              <w:jc w:val="center"/>
            </w:pPr>
            <w:r>
              <w:t xml:space="preserve">5</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2</w:t>
            </w:r>
          </w:p>
        </w:tc>
        <w:tc>
          <w:tcPr>
            <w:tcW w:w="4280" w:type="dxa"/>
            <w:vAlign w:val="center"/>
            <w:tcMar>
              <w:top w:w="80" w:type="dxa"/>
              <w:bottom w:w="80" w:type="dxa"/>
              <w:left w:w="110" w:type="dxa"/>
              <w:right w:w="110" w:type="dxa"/>
            </w:tcMar>
          </w:tcPr>
          <w:p>
            <w:pPr>
              <w:spacing w:before="0" w:after="0" w:line="276" w:lineRule="auto"/>
            </w:pPr>
            <w:r>
              <w:t xml:space="preserve">Reduce el costo de adaptación</w:t>
            </w:r>
          </w:p>
        </w:tc>
      </w:tr>
      <w:tr>
        <w:trPr>
          <w:cantSplit/>
        </w:trPr>
        <w:tc>
          <w:tcPr>
            <w:tcW w:w="2250" w:type="dxa"/>
            <w:shd w:val="clear" w:color="auto" w:fill="F3F6F3"/>
            <w:vAlign w:val="center"/>
            <w:tcMar>
              <w:top w:w="80" w:type="dxa"/>
              <w:bottom w:w="80" w:type="dxa"/>
              <w:left w:w="110" w:type="dxa"/>
              <w:right w:w="110" w:type="dxa"/>
            </w:tcMar>
          </w:tcPr>
          <w:p>
            <w:pPr>
              <w:spacing w:before="0" w:after="0" w:line="276" w:lineRule="auto"/>
            </w:pPr>
            <w:r>
              <w:t xml:space="preserve">Barreras arancelarias</w:t>
            </w:r>
          </w:p>
        </w:tc>
        <w:tc>
          <w:tcPr>
            <w:tcW w:w="620" w:type="dxa"/>
            <w:shd w:val="clear" w:color="auto" w:fill="F3F6F3"/>
            <w:vAlign w:val="center"/>
            <w:tcMar>
              <w:top w:w="80" w:type="dxa"/>
              <w:bottom w:w="80" w:type="dxa"/>
              <w:left w:w="110" w:type="dxa"/>
              <w:right w:w="110" w:type="dxa"/>
            </w:tcMar>
          </w:tcPr>
          <w:p>
            <w:pPr>
              <w:spacing w:before="0" w:after="0" w:line="276" w:lineRule="auto"/>
              <w:jc w:val="center"/>
            </w:pPr>
            <w:r>
              <w:t xml:space="preserve">10 %</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5</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2</w:t>
            </w:r>
          </w:p>
        </w:tc>
        <w:tc>
          <w:tcPr>
            <w:tcW w:w="4280" w:type="dxa"/>
            <w:shd w:val="clear" w:color="auto" w:fill="F3F6F3"/>
            <w:vAlign w:val="center"/>
            <w:tcMar>
              <w:top w:w="80" w:type="dxa"/>
              <w:bottom w:w="80" w:type="dxa"/>
              <w:left w:w="110" w:type="dxa"/>
              <w:right w:w="110" w:type="dxa"/>
            </w:tcMar>
          </w:tcPr>
          <w:p>
            <w:pPr>
              <w:spacing w:before="0" w:after="0" w:line="276" w:lineRule="auto"/>
            </w:pPr>
            <w:r>
              <w:t xml:space="preserve">Penalizado en EE.UU. por la sobretasa vigente</w:t>
            </w:r>
          </w:p>
        </w:tc>
      </w:tr>
      <w:tr>
        <w:trPr>
          <w:cantSplit/>
        </w:trPr>
        <w:tc>
          <w:tcPr>
            <w:tcW w:w="2250" w:type="dxa"/>
            <w:vAlign w:val="center"/>
            <w:tcMar>
              <w:top w:w="80" w:type="dxa"/>
              <w:bottom w:w="80" w:type="dxa"/>
              <w:left w:w="110" w:type="dxa"/>
              <w:right w:w="110" w:type="dxa"/>
            </w:tcMar>
          </w:tcPr>
          <w:p>
            <w:pPr>
              <w:spacing w:before="0" w:after="0" w:line="276" w:lineRule="auto"/>
            </w:pPr>
            <w:r>
              <w:t xml:space="preserve">Barreras no arancelarias</w:t>
            </w:r>
          </w:p>
        </w:tc>
        <w:tc>
          <w:tcPr>
            <w:tcW w:w="620" w:type="dxa"/>
            <w:vAlign w:val="center"/>
            <w:tcMar>
              <w:top w:w="80" w:type="dxa"/>
              <w:bottom w:w="80" w:type="dxa"/>
              <w:left w:w="110" w:type="dxa"/>
              <w:right w:w="110" w:type="dxa"/>
            </w:tcMar>
          </w:tcPr>
          <w:p>
            <w:pPr>
              <w:spacing w:before="0" w:after="0" w:line="276" w:lineRule="auto"/>
              <w:jc w:val="center"/>
            </w:pPr>
            <w:r>
              <w:t xml:space="preserve">10 %</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2</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2</w:t>
            </w:r>
          </w:p>
        </w:tc>
        <w:tc>
          <w:tcPr>
            <w:tcW w:w="4280" w:type="dxa"/>
            <w:vAlign w:val="center"/>
            <w:tcMar>
              <w:top w:w="80" w:type="dxa"/>
              <w:bottom w:w="80" w:type="dxa"/>
              <w:left w:w="110" w:type="dxa"/>
              <w:right w:w="110" w:type="dxa"/>
            </w:tcMar>
          </w:tcPr>
          <w:p>
            <w:pPr>
              <w:spacing w:before="0" w:after="0" w:line="276" w:lineRule="auto"/>
            </w:pPr>
            <w:r>
              <w:t xml:space="preserve">Registro sanitario y requisitos de etiquetado</w:t>
            </w:r>
          </w:p>
        </w:tc>
      </w:tr>
      <w:tr>
        <w:trPr>
          <w:cantSplit/>
        </w:trPr>
        <w:tc>
          <w:tcPr>
            <w:tcW w:w="2250" w:type="dxa"/>
            <w:shd w:val="clear" w:color="auto" w:fill="F3F6F3"/>
            <w:vAlign w:val="center"/>
            <w:tcMar>
              <w:top w:w="80" w:type="dxa"/>
              <w:bottom w:w="80" w:type="dxa"/>
              <w:left w:w="110" w:type="dxa"/>
              <w:right w:w="110" w:type="dxa"/>
            </w:tcMar>
          </w:tcPr>
          <w:p>
            <w:pPr>
              <w:spacing w:before="0" w:after="0" w:line="276" w:lineRule="auto"/>
            </w:pPr>
            <w:r>
              <w:t xml:space="preserve">Distancia geográfica</w:t>
            </w:r>
          </w:p>
        </w:tc>
        <w:tc>
          <w:tcPr>
            <w:tcW w:w="620" w:type="dxa"/>
            <w:shd w:val="clear" w:color="auto" w:fill="F3F6F3"/>
            <w:vAlign w:val="center"/>
            <w:tcMar>
              <w:top w:w="80" w:type="dxa"/>
              <w:bottom w:w="80" w:type="dxa"/>
              <w:left w:w="110" w:type="dxa"/>
              <w:right w:w="110" w:type="dxa"/>
            </w:tcMar>
          </w:tcPr>
          <w:p>
            <w:pPr>
              <w:spacing w:before="0" w:after="0" w:line="276" w:lineRule="auto"/>
              <w:jc w:val="center"/>
            </w:pPr>
            <w:r>
              <w:t xml:space="preserve">5 %</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3</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1</w:t>
            </w:r>
          </w:p>
        </w:tc>
        <w:tc>
          <w:tcPr>
            <w:tcW w:w="4280" w:type="dxa"/>
            <w:shd w:val="clear" w:color="auto" w:fill="F3F6F3"/>
            <w:vAlign w:val="center"/>
            <w:tcMar>
              <w:top w:w="80" w:type="dxa"/>
              <w:bottom w:w="80" w:type="dxa"/>
              <w:left w:w="110" w:type="dxa"/>
              <w:right w:w="110" w:type="dxa"/>
            </w:tcMar>
          </w:tcPr>
          <w:p>
            <w:pPr>
              <w:spacing w:before="0" w:after="0" w:line="276" w:lineRule="auto"/>
            </w:pPr>
            <w:r>
              <w:t xml:space="preserve">Peso bajo: influye, pero no decide</w:t>
            </w:r>
          </w:p>
        </w:tc>
      </w:tr>
      <w:tr>
        <w:trPr>
          <w:cantSplit/>
        </w:trPr>
        <w:tc>
          <w:tcPr>
            <w:tcW w:w="2250" w:type="dxa"/>
            <w:vAlign w:val="center"/>
            <w:tcMar>
              <w:top w:w="80" w:type="dxa"/>
              <w:bottom w:w="80" w:type="dxa"/>
              <w:left w:w="110" w:type="dxa"/>
              <w:right w:w="110" w:type="dxa"/>
            </w:tcMar>
          </w:tcPr>
          <w:p>
            <w:pPr>
              <w:spacing w:before="0" w:after="0" w:line="276" w:lineRule="auto"/>
            </w:pPr>
            <w:r>
              <w:rPr>
                <w:b/>
              </w:rPr>
              <w:t xml:space="preserve">Índice ponderado (0–100)</w:t>
            </w:r>
          </w:p>
        </w:tc>
        <w:tc>
          <w:tcPr>
            <w:tcW w:w="620" w:type="dxa"/>
            <w:vAlign w:val="center"/>
            <w:tcMar>
              <w:top w:w="80" w:type="dxa"/>
              <w:bottom w:w="80" w:type="dxa"/>
              <w:left w:w="110" w:type="dxa"/>
              <w:right w:w="110" w:type="dxa"/>
            </w:tcMar>
          </w:tcPr>
          <w:p>
            <w:pPr>
              <w:spacing w:before="0" w:after="0" w:line="276" w:lineRule="auto"/>
              <w:jc w:val="center"/>
            </w:pPr>
            <w:r>
              <w:rPr>
                <w:b/>
              </w:rPr>
              <w:t xml:space="preserve">100 %</w:t>
            </w:r>
          </w:p>
        </w:tc>
        <w:tc>
          <w:tcPr>
            <w:tcW w:w="480" w:type="dxa"/>
            <w:vAlign w:val="center"/>
            <w:tcMar>
              <w:top w:w="80" w:type="dxa"/>
              <w:bottom w:w="80" w:type="dxa"/>
              <w:left w:w="110" w:type="dxa"/>
              <w:right w:w="110" w:type="dxa"/>
            </w:tcMar>
          </w:tcPr>
          <w:p>
            <w:pPr>
              <w:spacing w:before="0" w:after="0" w:line="276" w:lineRule="auto"/>
              <w:jc w:val="center"/>
            </w:pPr>
            <w:r>
              <w:rPr>
                <w:b/>
              </w:rPr>
              <w:t xml:space="preserve">67</w:t>
            </w:r>
          </w:p>
        </w:tc>
        <w:tc>
          <w:tcPr>
            <w:tcW w:w="480" w:type="dxa"/>
            <w:vAlign w:val="center"/>
            <w:tcMar>
              <w:top w:w="80" w:type="dxa"/>
              <w:bottom w:w="80" w:type="dxa"/>
              <w:left w:w="110" w:type="dxa"/>
              <w:right w:w="110" w:type="dxa"/>
            </w:tcMar>
          </w:tcPr>
          <w:p>
            <w:pPr>
              <w:spacing w:before="0" w:after="0" w:line="276" w:lineRule="auto"/>
              <w:jc w:val="center"/>
            </w:pPr>
            <w:r>
              <w:rPr>
                <w:b/>
                <w:color w:val="B3261E"/>
              </w:rPr>
              <w:t xml:space="preserve">52</w:t>
            </w:r>
          </w:p>
        </w:tc>
        <w:tc>
          <w:tcPr>
            <w:tcW w:w="480" w:type="dxa"/>
            <w:vAlign w:val="center"/>
            <w:tcMar>
              <w:top w:w="80" w:type="dxa"/>
              <w:bottom w:w="80" w:type="dxa"/>
              <w:left w:w="110" w:type="dxa"/>
              <w:right w:w="110" w:type="dxa"/>
            </w:tcMar>
          </w:tcPr>
          <w:p>
            <w:pPr>
              <w:spacing w:before="0" w:after="0" w:line="276" w:lineRule="auto"/>
              <w:jc w:val="center"/>
            </w:pPr>
            <w:r>
              <w:rPr>
                <w:b/>
              </w:rPr>
              <w:t xml:space="preserve">69</w:t>
            </w:r>
          </w:p>
        </w:tc>
        <w:tc>
          <w:tcPr>
            <w:tcW w:w="480" w:type="dxa"/>
            <w:vAlign w:val="center"/>
            <w:tcMar>
              <w:top w:w="80" w:type="dxa"/>
              <w:bottom w:w="80" w:type="dxa"/>
              <w:left w:w="110" w:type="dxa"/>
              <w:right w:w="110" w:type="dxa"/>
            </w:tcMar>
          </w:tcPr>
          <w:p>
            <w:pPr>
              <w:spacing w:before="0" w:after="0" w:line="276" w:lineRule="auto"/>
              <w:jc w:val="center"/>
            </w:pPr>
            <w:r>
              <w:rPr>
                <w:b/>
                <w:color w:val="1B5E20"/>
              </w:rPr>
              <w:t xml:space="preserve">75</w:t>
            </w:r>
          </w:p>
        </w:tc>
        <w:tc>
          <w:tcPr>
            <w:tcW w:w="4280" w:type="dxa"/>
            <w:vAlign w:val="center"/>
            <w:tcMar>
              <w:top w:w="80" w:type="dxa"/>
              <w:bottom w:w="80" w:type="dxa"/>
              <w:left w:w="110" w:type="dxa"/>
              <w:right w:w="110" w:type="dxa"/>
            </w:tcMar>
          </w:tcPr>
          <w:p>
            <w:pPr>
              <w:spacing w:before="0" w:after="0" w:line="276" w:lineRule="auto"/>
            </w:pPr>
            <w:r>
              <w:t xml:space="preserve"/>
            </w:r>
          </w:p>
        </w:tc>
      </w:tr>
    </w:tbl>
    <w:p>
      <w:pPr>
        <w:spacing w:before="0" w:after="120" w:line="276" w:lineRule="auto"/>
      </w:pPr>
      <w:r>
        <w:t xml:space="preserve"/>
      </w:r>
    </w:p>
    <w:p>
      <w:pPr>
        <w:spacing w:before="0" w:after="200" w:line="276" w:lineRule="auto"/>
        <w:jc w:val="left"/>
      </w:pPr>
      <w:r>
        <w:rPr>
          <w:b/>
          <w:sz w:val="18"/>
        </w:rPr>
        <w:t xml:space="preserve">Tabla 3. </w:t>
      </w:r>
      <w:r>
        <w:rPr>
          <w:sz w:val="18"/>
        </w:rPr>
        <w:t xml:space="preserve">Matriz Papadopoulos. Mayor índice indica mayor atractivo comercial.</w:t>
      </w:r>
    </w:p>
    <w:p>
      <w:pPr>
        <w:pStyle w:val="Heading3"/>
        <w:keepNext/>
        <w:spacing w:before="240" w:after="120" w:line="276" w:lineRule="auto"/>
      </w:pPr>
      <w:r>
        <w:t xml:space="preserve">Cálculo del índice</w:t>
      </w:r>
    </w:p>
    <w:p>
      <w:pPr>
        <w:spacing w:before="0" w:after="120" w:line="276" w:lineRule="auto"/>
        <w:jc w:val="both"/>
      </w:pPr>
      <w:r>
        <w:t xml:space="preserve">Índice = Σ (puntaje × peso) ÷ 5 × 100. Verificación para Uruguay:</w:t>
      </w:r>
    </w:p>
    <w:p>
      <w:pPr>
        <w:spacing w:before="0" w:after="160" w:line="276" w:lineRule="auto"/>
        <w:ind w:left="360"/>
      </w:pPr>
      <w:r>
        <w:rPr>
          <w:rFonts w:ascii="Consolas" w:hAnsi="Consolas"/>
          <w:sz w:val="18"/>
        </w:rPr>
        <w:t xml:space="preserve">(1×0,20)+(3×0,15)+(4×0,15)+(4×0,15)+(5×0,10)+(5×0,10)+(3×0,10)+(4×0,05) = 3,35</w:t>
      </w:r>
      <w:r>
        <w:br/>
      </w:r>
      <w:r>
        <w:rPr>
          <w:rFonts w:ascii="Consolas" w:hAnsi="Consolas"/>
          <w:sz w:val="18"/>
        </w:rPr>
        <w:t xml:space="preserve">3,35 ÷ 5 × 100 = 67</w:t>
      </w:r>
    </w:p>
    <w:p>
      <w:pPr>
        <w:pStyle w:val="Heading3"/>
        <w:keepNext/>
        <w:spacing w:before="240" w:after="120" w:line="276" w:lineRule="auto"/>
      </w:pPr>
      <w:r>
        <w:t xml:space="preserve">Resultado y lectura</w:t>
      </w:r>
    </w:p>
    <w:p>
      <w:pPr>
        <w:spacing w:before="0" w:after="120" w:line="276" w:lineRule="auto"/>
        <w:jc w:val="both"/>
      </w:pPr>
      <w:r>
        <w:t xml:space="preserve">El orden que arroja el modelo es </w:t>
      </w:r>
      <w:r>
        <w:rPr>
          <w:b/>
        </w:rPr>
        <w:t xml:space="preserve">Estados Unidos (75), Colombia (69), Uruguay (67) y Paraguay (52)</w:t>
      </w:r>
      <w:r>
        <w:t xml:space="preserve">. Estados Unidos lidera por tamaño de demanda, consumo instalado de la categoría y poder de compra, pese a quedar penalizado en barreras arancelarias. Paraguay queda último en atractivo, sin destacar en ninguna variable de peso.</w:t>
      </w:r>
    </w:p>
    <w:p>
      <w:pPr>
        <w:spacing w:before="0" w:after="120" w:line="276" w:lineRule="auto"/>
        <w:jc w:val="both"/>
      </w:pPr>
      <w:r>
        <w:rPr>
          <w:b/>
          <w:color w:val="B3261E"/>
        </w:rPr>
        <w:t xml:space="preserve">Qué debe sustituirse por datos reales </w:t>
      </w:r>
      <w:r>
        <w:rPr>
          <w:b/>
          <w:color w:val="B3261E"/>
        </w:rPr>
        <w:t xml:space="preserve">[!]</w:t>
      </w:r>
      <w:r>
        <w:rPr>
          <w:b/>
          <w:color w:val="B3261E"/>
        </w:rPr>
        <w:t xml:space="preserve">. </w:t>
      </w:r>
      <w:r>
        <w:t xml:space="preserve">Los puntajes de las cuatro primeras variables son estimaciones razonadas. Para la entrega final deben reemplazarse con cifras de la partida 2202.99 obtenidas de Trade Map (ITC) o UN Comtrade: valor y volumen importado por país, tendencia de los últimos cinco años y principales proveedores. Esa sustitución es la diferencia entre un trabajo fundamentado y uno opinado.</w:t>
      </w:r>
    </w:p>
    <w:p>
      <w:r>
        <w:br w:type="page"/>
      </w:r>
    </w:p>
    <w:p>
      <w:pPr>
        <w:pStyle w:val="Heading2"/>
        <w:keepNext/>
        <w:spacing w:before="0" w:after="120" w:line="276" w:lineRule="auto"/>
      </w:pPr>
      <w:r>
        <w:t xml:space="preserve">1.b  Modelo CAGE</w:t>
      </w:r>
    </w:p>
    <w:p>
      <w:pPr>
        <w:spacing w:before="0" w:after="120" w:line="276" w:lineRule="auto"/>
        <w:jc w:val="both"/>
      </w:pPr>
      <w:r>
        <w:t xml:space="preserve">Mientras Papadopoulos estima atractivo, el modelo CAGE de Ghemawat mide distancia entre el país de origen y el de destino en cuatro dimensiones. Aporta las dimensiones cultural y administrativa que un modelo puramente cuantitativo no captura, y por eso complementa al anterior en lugar de sustituirlo.</w:t>
      </w:r>
    </w:p>
    <w:p>
      <w:pPr>
        <w:pStyle w:val="Quote"/>
        <w:spacing w:before="0" w:after="120" w:line="276" w:lineRule="auto"/>
        <w:jc w:val="both"/>
      </w:pPr>
      <w:r>
        <w:rPr>
          <w:b/>
        </w:rPr>
        <w:t xml:space="preserve">Matiz que conviene explicitar. </w:t>
      </w:r>
      <w:r>
        <w:t xml:space="preserve">En CAGE la distancia no siempre es un costo. En una estrategia de </w:t>
      </w:r>
      <w:r>
        <w:rPr>
          <w:b/>
          <w:i/>
        </w:rPr>
        <w:t xml:space="preserve">arbitraje</w:t>
      </w:r>
      <w:r>
        <w:t xml:space="preserve"> —vender un origen distintivo a un mercado de mayor ingreso— la distancia económica juega a favor. Para Pinda, cuyo argumento central es el origen valdiviano, la lejanía cultural puede operar como activo y no como barrera.</w:t>
      </w:r>
    </w:p>
    <w:p>
      <w:pPr>
        <w:spacing w:before="0" w:after="120" w:line="276" w:lineRule="auto"/>
      </w:pPr>
      <w:r>
        <w:rPr>
          <w:b/>
        </w:rPr>
        <w:t xml:space="preserve">Escala: </w:t>
      </w:r>
      <w:r>
        <w:rPr>
          <w:color w:val="1B5E20"/>
        </w:rPr>
        <w:t xml:space="preserve">1 = distancia muy baja (favorable)</w:t>
      </w:r>
      <w:r>
        <w:t xml:space="preserve"> hasta </w:t>
      </w:r>
      <w:r>
        <w:rPr>
          <w:color w:val="B3261E"/>
        </w:rPr>
        <w:t xml:space="preserve">5 = distancia muy alta (desfavorable)</w:t>
      </w:r>
      <w:r>
        <w:t xml:space="preserve">.</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470"/>
        <w:gridCol w:w="1650"/>
        <w:gridCol w:w="1650"/>
        <w:gridCol w:w="1650"/>
        <w:gridCol w:w="1650"/>
      </w:tblGrid>
      <w:tr>
        <w:trPr>
          <w:tblHeader/>
          <w:cantSplit/>
        </w:trPr>
        <w:tc>
          <w:tcPr>
            <w:tcW w:w="24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Dimensión</w:t>
            </w:r>
          </w:p>
        </w:tc>
        <w:tc>
          <w:tcPr>
            <w:tcW w:w="16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Uruguay</w:t>
            </w:r>
          </w:p>
        </w:tc>
        <w:tc>
          <w:tcPr>
            <w:tcW w:w="16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Paraguay</w:t>
            </w:r>
          </w:p>
        </w:tc>
        <w:tc>
          <w:tcPr>
            <w:tcW w:w="16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Colombia</w:t>
            </w:r>
          </w:p>
        </w:tc>
        <w:tc>
          <w:tcPr>
            <w:tcW w:w="16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EE.UU.</w:t>
            </w:r>
          </w:p>
        </w:tc>
      </w:tr>
      <w:tr>
        <w:trPr>
          <w:cantSplit/>
        </w:trPr>
        <w:tc>
          <w:tcPr>
            <w:tcW w:w="2470" w:type="dxa"/>
            <w:vAlign w:val="center"/>
            <w:tcMar>
              <w:top w:w="80" w:type="dxa"/>
              <w:bottom w:w="80" w:type="dxa"/>
              <w:left w:w="110" w:type="dxa"/>
              <w:right w:w="110" w:type="dxa"/>
            </w:tcMar>
          </w:tcPr>
          <w:p>
            <w:pPr>
              <w:spacing w:before="0" w:after="0" w:line="276" w:lineRule="auto"/>
            </w:pPr>
            <w:r>
              <w:rPr>
                <w:b/>
              </w:rPr>
              <w:t xml:space="preserve">Cultural</w:t>
            </w:r>
          </w:p>
        </w:tc>
        <w:tc>
          <w:tcPr>
            <w:tcW w:w="1650" w:type="dxa"/>
            <w:vAlign w:val="center"/>
            <w:tcMar>
              <w:top w:w="80" w:type="dxa"/>
              <w:bottom w:w="80" w:type="dxa"/>
              <w:left w:w="110" w:type="dxa"/>
              <w:right w:w="110" w:type="dxa"/>
            </w:tcMar>
          </w:tcPr>
          <w:p>
            <w:pPr>
              <w:spacing w:before="0" w:after="0" w:line="276" w:lineRule="auto"/>
              <w:jc w:val="center"/>
            </w:pPr>
            <w:r>
              <w:t xml:space="preserve">1</w:t>
            </w:r>
          </w:p>
        </w:tc>
        <w:tc>
          <w:tcPr>
            <w:tcW w:w="1650" w:type="dxa"/>
            <w:vAlign w:val="center"/>
            <w:tcMar>
              <w:top w:w="80" w:type="dxa"/>
              <w:bottom w:w="80" w:type="dxa"/>
              <w:left w:w="110" w:type="dxa"/>
              <w:right w:w="110" w:type="dxa"/>
            </w:tcMar>
          </w:tcPr>
          <w:p>
            <w:pPr>
              <w:spacing w:before="0" w:after="0" w:line="276" w:lineRule="auto"/>
              <w:jc w:val="center"/>
            </w:pPr>
            <w:r>
              <w:t xml:space="preserve">3</w:t>
            </w:r>
          </w:p>
        </w:tc>
        <w:tc>
          <w:tcPr>
            <w:tcW w:w="1650" w:type="dxa"/>
            <w:vAlign w:val="center"/>
            <w:tcMar>
              <w:top w:w="80" w:type="dxa"/>
              <w:bottom w:w="80" w:type="dxa"/>
              <w:left w:w="110" w:type="dxa"/>
              <w:right w:w="110" w:type="dxa"/>
            </w:tcMar>
          </w:tcPr>
          <w:p>
            <w:pPr>
              <w:spacing w:before="0" w:after="0" w:line="276" w:lineRule="auto"/>
              <w:jc w:val="center"/>
            </w:pPr>
            <w:r>
              <w:t xml:space="preserve">2</w:t>
            </w:r>
          </w:p>
        </w:tc>
        <w:tc>
          <w:tcPr>
            <w:tcW w:w="1650" w:type="dxa"/>
            <w:vAlign w:val="center"/>
            <w:tcMar>
              <w:top w:w="80" w:type="dxa"/>
              <w:bottom w:w="80" w:type="dxa"/>
              <w:left w:w="110" w:type="dxa"/>
              <w:right w:w="110" w:type="dxa"/>
            </w:tcMar>
          </w:tcPr>
          <w:p>
            <w:pPr>
              <w:spacing w:before="0" w:after="0" w:line="276" w:lineRule="auto"/>
              <w:jc w:val="center"/>
            </w:pPr>
            <w:r>
              <w:t xml:space="preserve">4</w:t>
            </w:r>
          </w:p>
        </w:tc>
      </w:tr>
      <w:tr>
        <w:trPr>
          <w:cantSplit/>
        </w:trPr>
        <w:tc>
          <w:tcPr>
            <w:tcW w:w="2470" w:type="dxa"/>
            <w:shd w:val="clear" w:color="auto" w:fill="F3F6F3"/>
            <w:vAlign w:val="center"/>
            <w:tcMar>
              <w:top w:w="80" w:type="dxa"/>
              <w:bottom w:w="80" w:type="dxa"/>
              <w:left w:w="110" w:type="dxa"/>
              <w:right w:w="110" w:type="dxa"/>
            </w:tcMar>
          </w:tcPr>
          <w:p>
            <w:pPr>
              <w:spacing w:before="0" w:after="0" w:line="276" w:lineRule="auto"/>
            </w:pPr>
            <w:r>
              <w:rPr>
                <w:b/>
              </w:rPr>
              <w:t xml:space="preserve">Administrativa</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1</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r>
      <w:tr>
        <w:trPr>
          <w:cantSplit/>
        </w:trPr>
        <w:tc>
          <w:tcPr>
            <w:tcW w:w="2470" w:type="dxa"/>
            <w:vAlign w:val="center"/>
            <w:tcMar>
              <w:top w:w="80" w:type="dxa"/>
              <w:bottom w:w="80" w:type="dxa"/>
              <w:left w:w="110" w:type="dxa"/>
              <w:right w:w="110" w:type="dxa"/>
            </w:tcMar>
          </w:tcPr>
          <w:p>
            <w:pPr>
              <w:spacing w:before="0" w:after="0" w:line="276" w:lineRule="auto"/>
            </w:pPr>
            <w:r>
              <w:rPr>
                <w:b/>
              </w:rPr>
              <w:t xml:space="preserve">Geográfica</w:t>
            </w:r>
          </w:p>
        </w:tc>
        <w:tc>
          <w:tcPr>
            <w:tcW w:w="1650" w:type="dxa"/>
            <w:vAlign w:val="center"/>
            <w:tcMar>
              <w:top w:w="80" w:type="dxa"/>
              <w:bottom w:w="80" w:type="dxa"/>
              <w:left w:w="110" w:type="dxa"/>
              <w:right w:w="110" w:type="dxa"/>
            </w:tcMar>
          </w:tcPr>
          <w:p>
            <w:pPr>
              <w:spacing w:before="0" w:after="0" w:line="276" w:lineRule="auto"/>
              <w:jc w:val="center"/>
            </w:pPr>
            <w:r>
              <w:t xml:space="preserve">2</w:t>
            </w:r>
          </w:p>
        </w:tc>
        <w:tc>
          <w:tcPr>
            <w:tcW w:w="1650" w:type="dxa"/>
            <w:vAlign w:val="center"/>
            <w:tcMar>
              <w:top w:w="80" w:type="dxa"/>
              <w:bottom w:w="80" w:type="dxa"/>
              <w:left w:w="110" w:type="dxa"/>
              <w:right w:w="110" w:type="dxa"/>
            </w:tcMar>
          </w:tcPr>
          <w:p>
            <w:pPr>
              <w:spacing w:before="0" w:after="0" w:line="276" w:lineRule="auto"/>
              <w:jc w:val="center"/>
            </w:pPr>
            <w:r>
              <w:t xml:space="preserve">4</w:t>
            </w:r>
          </w:p>
        </w:tc>
        <w:tc>
          <w:tcPr>
            <w:tcW w:w="1650" w:type="dxa"/>
            <w:vAlign w:val="center"/>
            <w:tcMar>
              <w:top w:w="80" w:type="dxa"/>
              <w:bottom w:w="80" w:type="dxa"/>
              <w:left w:w="110" w:type="dxa"/>
              <w:right w:w="110" w:type="dxa"/>
            </w:tcMar>
          </w:tcPr>
          <w:p>
            <w:pPr>
              <w:spacing w:before="0" w:after="0" w:line="276" w:lineRule="auto"/>
              <w:jc w:val="center"/>
            </w:pPr>
            <w:r>
              <w:t xml:space="preserve">3</w:t>
            </w:r>
          </w:p>
        </w:tc>
        <w:tc>
          <w:tcPr>
            <w:tcW w:w="1650" w:type="dxa"/>
            <w:vAlign w:val="center"/>
            <w:tcMar>
              <w:top w:w="80" w:type="dxa"/>
              <w:bottom w:w="80" w:type="dxa"/>
              <w:left w:w="110" w:type="dxa"/>
              <w:right w:w="110" w:type="dxa"/>
            </w:tcMar>
          </w:tcPr>
          <w:p>
            <w:pPr>
              <w:spacing w:before="0" w:after="0" w:line="276" w:lineRule="auto"/>
              <w:jc w:val="center"/>
            </w:pPr>
            <w:r>
              <w:t xml:space="preserve">5</w:t>
            </w:r>
          </w:p>
        </w:tc>
      </w:tr>
      <w:tr>
        <w:trPr>
          <w:cantSplit/>
        </w:trPr>
        <w:tc>
          <w:tcPr>
            <w:tcW w:w="2470" w:type="dxa"/>
            <w:shd w:val="clear" w:color="auto" w:fill="F3F6F3"/>
            <w:vAlign w:val="center"/>
            <w:tcMar>
              <w:top w:w="80" w:type="dxa"/>
              <w:bottom w:w="80" w:type="dxa"/>
              <w:left w:w="110" w:type="dxa"/>
              <w:right w:w="110" w:type="dxa"/>
            </w:tcMar>
          </w:tcPr>
          <w:p>
            <w:pPr>
              <w:spacing w:before="0" w:after="0" w:line="276" w:lineRule="auto"/>
            </w:pPr>
            <w:r>
              <w:rPr>
                <w:b/>
              </w:rPr>
              <w:t xml:space="preserve">Económica</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3</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r>
      <w:tr>
        <w:trPr>
          <w:cantSplit/>
        </w:trPr>
        <w:tc>
          <w:tcPr>
            <w:tcW w:w="2470" w:type="dxa"/>
            <w:vAlign w:val="center"/>
            <w:tcMar>
              <w:top w:w="80" w:type="dxa"/>
              <w:bottom w:w="80" w:type="dxa"/>
              <w:left w:w="110" w:type="dxa"/>
              <w:right w:w="110" w:type="dxa"/>
            </w:tcMar>
          </w:tcPr>
          <w:p>
            <w:pPr>
              <w:spacing w:before="0" w:after="0" w:line="276" w:lineRule="auto"/>
            </w:pPr>
            <w:r>
              <w:rPr>
                <w:b/>
              </w:rPr>
              <w:t xml:space="preserve">Distancia total</w:t>
            </w:r>
          </w:p>
        </w:tc>
        <w:tc>
          <w:tcPr>
            <w:tcW w:w="1650" w:type="dxa"/>
            <w:vAlign w:val="center"/>
            <w:tcMar>
              <w:top w:w="80" w:type="dxa"/>
              <w:bottom w:w="80" w:type="dxa"/>
              <w:left w:w="110" w:type="dxa"/>
              <w:right w:w="110" w:type="dxa"/>
            </w:tcMar>
          </w:tcPr>
          <w:p>
            <w:pPr>
              <w:spacing w:before="0" w:after="0" w:line="276" w:lineRule="auto"/>
              <w:jc w:val="center"/>
            </w:pPr>
            <w:r>
              <w:rPr>
                <w:b/>
                <w:color w:val="1B5E20"/>
              </w:rPr>
              <w:t xml:space="preserve">6</w:t>
            </w:r>
          </w:p>
        </w:tc>
        <w:tc>
          <w:tcPr>
            <w:tcW w:w="1650" w:type="dxa"/>
            <w:vAlign w:val="center"/>
            <w:tcMar>
              <w:top w:w="80" w:type="dxa"/>
              <w:bottom w:w="80" w:type="dxa"/>
              <w:left w:w="110" w:type="dxa"/>
              <w:right w:w="110" w:type="dxa"/>
            </w:tcMar>
          </w:tcPr>
          <w:p>
            <w:pPr>
              <w:spacing w:before="0" w:after="0" w:line="276" w:lineRule="auto"/>
              <w:jc w:val="center"/>
            </w:pPr>
            <w:r>
              <w:rPr>
                <w:b/>
              </w:rPr>
              <w:t xml:space="preserve">13</w:t>
            </w:r>
          </w:p>
        </w:tc>
        <w:tc>
          <w:tcPr>
            <w:tcW w:w="1650" w:type="dxa"/>
            <w:vAlign w:val="center"/>
            <w:tcMar>
              <w:top w:w="80" w:type="dxa"/>
              <w:bottom w:w="80" w:type="dxa"/>
              <w:left w:w="110" w:type="dxa"/>
              <w:right w:w="110" w:type="dxa"/>
            </w:tcMar>
          </w:tcPr>
          <w:p>
            <w:pPr>
              <w:spacing w:before="0" w:after="0" w:line="276" w:lineRule="auto"/>
              <w:jc w:val="center"/>
            </w:pPr>
            <w:r>
              <w:rPr>
                <w:b/>
              </w:rPr>
              <w:t xml:space="preserve">10</w:t>
            </w:r>
          </w:p>
        </w:tc>
        <w:tc>
          <w:tcPr>
            <w:tcW w:w="1650" w:type="dxa"/>
            <w:vAlign w:val="center"/>
            <w:tcMar>
              <w:top w:w="80" w:type="dxa"/>
              <w:bottom w:w="80" w:type="dxa"/>
              <w:left w:w="110" w:type="dxa"/>
              <w:right w:w="110" w:type="dxa"/>
            </w:tcMar>
          </w:tcPr>
          <w:p>
            <w:pPr>
              <w:spacing w:before="0" w:after="0" w:line="276" w:lineRule="auto"/>
              <w:jc w:val="center"/>
            </w:pPr>
            <w:r>
              <w:rPr>
                <w:b/>
                <w:color w:val="B3261E"/>
              </w:rPr>
              <w:t xml:space="preserve">15</w:t>
            </w:r>
          </w:p>
        </w:tc>
      </w:tr>
    </w:tbl>
    <w:p>
      <w:pPr>
        <w:spacing w:before="0" w:after="120" w:line="276" w:lineRule="auto"/>
      </w:pPr>
      <w:r>
        <w:t xml:space="preserve"/>
      </w:r>
    </w:p>
    <w:p>
      <w:pPr>
        <w:spacing w:before="0" w:after="200" w:line="276" w:lineRule="auto"/>
        <w:jc w:val="left"/>
      </w:pPr>
      <w:r>
        <w:rPr>
          <w:b/>
          <w:sz w:val="18"/>
        </w:rPr>
        <w:t xml:space="preserve">Tabla 4. </w:t>
      </w:r>
      <w:r>
        <w:rPr>
          <w:sz w:val="18"/>
        </w:rPr>
        <w:t xml:space="preserve">Matriz CAGE. Menor puntaje indica menor distancia y mayor facilidad de entrada.</w:t>
      </w:r>
    </w:p>
    <w:p>
      <w:pPr>
        <w:pStyle w:val="Heading3"/>
        <w:keepNext/>
        <w:spacing w:before="240" w:after="120" w:line="276" w:lineRule="auto"/>
      </w:pPr>
      <w:r>
        <w:t xml:space="preserve">Dimensión cultural</w:t>
      </w:r>
    </w:p>
    <w:p>
      <w:pPr>
        <w:pStyle w:val="ListBullet"/>
        <w:spacing w:before="0" w:after="60" w:line="276" w:lineRule="auto"/>
        <w:ind w:left="360"/>
      </w:pPr>
      <w:r>
        <w:rPr>
          <w:b/>
        </w:rPr>
        <w:t xml:space="preserve">Uruguay (1): </w:t>
      </w:r>
      <w:r>
        <w:t xml:space="preserve">Español rioplatense, Cono Sur, normas de consumo y hábitos alimentarios muy próximos a los chilenos. Admite el mismo registro publicitario que Argentina.</w:t>
      </w:r>
    </w:p>
    <w:p>
      <w:pPr>
        <w:pStyle w:val="ListBullet"/>
        <w:spacing w:before="0" w:after="60" w:line="276" w:lineRule="auto"/>
        <w:ind w:left="360"/>
      </w:pPr>
      <w:r>
        <w:rPr>
          <w:b/>
        </w:rPr>
        <w:t xml:space="preserve">Paraguay (3): </w:t>
      </w:r>
      <w:r>
        <w:t xml:space="preserve">País bilingüe español–guaraní, con patrones de consumo distintos y menor exposición a categorías premium importadas.</w:t>
      </w:r>
    </w:p>
    <w:p>
      <w:pPr>
        <w:pStyle w:val="ListBullet"/>
        <w:spacing w:before="0" w:after="60" w:line="276" w:lineRule="auto"/>
        <w:ind w:left="360"/>
      </w:pPr>
      <w:r>
        <w:rPr>
          <w:b/>
        </w:rPr>
        <w:t xml:space="preserve">Colombia (2): </w:t>
      </w:r>
      <w:r>
        <w:t xml:space="preserve">Comparte idioma, pero la cultura andino-caribeña difiere de la del Cono Sur: referencias y códigos de marca no se trasladan directamente.</w:t>
      </w:r>
    </w:p>
    <w:p>
      <w:pPr>
        <w:pStyle w:val="ListBullet"/>
        <w:spacing w:before="0" w:after="60" w:line="276" w:lineRule="auto"/>
        <w:ind w:left="360"/>
      </w:pPr>
      <w:r>
        <w:rPr>
          <w:b/>
        </w:rPr>
        <w:t xml:space="preserve">Estados Unidos (4): </w:t>
      </w:r>
      <w:r>
        <w:t xml:space="preserve">Idioma distinto y cultura de consumo propia. Compensación relevante: es el mercado donde la kombucha está más instalada, por lo que no exige educar la categoría, solo diferenciar la marca.</w:t>
      </w:r>
    </w:p>
    <w:p>
      <w:pPr>
        <w:pStyle w:val="Heading3"/>
        <w:keepNext/>
        <w:spacing w:before="240" w:after="120" w:line="276" w:lineRule="auto"/>
      </w:pPr>
      <w:r>
        <w:t xml:space="preserve">Dimensión administrativa</w:t>
      </w:r>
    </w:p>
    <w:p>
      <w:pPr>
        <w:pStyle w:val="ListBullet"/>
        <w:spacing w:before="0" w:after="60" w:line="276" w:lineRule="auto"/>
        <w:ind w:left="360"/>
      </w:pPr>
      <w:r>
        <w:rPr>
          <w:b/>
        </w:rPr>
        <w:t xml:space="preserve">Uruguay (1) [V]: </w:t>
      </w:r>
      <w:r>
        <w:t xml:space="preserve">Doble cobertura: ACE N° 35 (Chile–Mercosur), con desgravación completa y Zona de Libre Comercio ya configurada según el Ministerio de Economía y Finanzas uruguayo, más el Tratado de Libre Comercio bilateral ACE N° 73, suscrito en Montevideo el 4 de octubre de 2016, vigente internacionalmente desde el 13 de diciembre de 2018 y en Chile desde el 3 de abril de 2019. Es la situación más sólida de los cuatro mercados.</w:t>
      </w:r>
    </w:p>
    <w:p>
      <w:pPr>
        <w:pStyle w:val="ListBullet"/>
        <w:spacing w:before="0" w:after="60" w:line="276" w:lineRule="auto"/>
        <w:ind w:left="360"/>
      </w:pPr>
      <w:r>
        <w:rPr>
          <w:b/>
        </w:rPr>
        <w:t xml:space="preserve">Paraguay (2) [V]: </w:t>
      </w:r>
      <w:r>
        <w:t xml:space="preserve">Cubierto por el ACE N° 35 como miembro del Mercosur. Menor volumen de precedentes de importación en la categoría.</w:t>
      </w:r>
    </w:p>
    <w:p>
      <w:pPr>
        <w:pStyle w:val="ListBullet"/>
        <w:spacing w:before="0" w:after="60" w:line="276" w:lineRule="auto"/>
        <w:ind w:left="360"/>
      </w:pPr>
      <w:r>
        <w:rPr>
          <w:b/>
        </w:rPr>
        <w:t xml:space="preserve">Colombia (2) [V]: </w:t>
      </w:r>
      <w:r>
        <w:t xml:space="preserve">Alianza del Pacífico, con protocolo comercial vigente desde el 1 de mayo de 2016 y reglas de origen comunes a los cuatro países miembros.</w:t>
      </w:r>
    </w:p>
    <w:p>
      <w:pPr>
        <w:spacing w:before="120" w:after="120" w:line="276" w:lineRule="auto"/>
        <w:jc w:val="both"/>
      </w:pPr>
      <w:r>
        <w:rPr>
          <w:b/>
        </w:rPr>
        <w:t xml:space="preserve">Estados Unidos (4) </w:t>
      </w:r>
      <w:r>
        <w:rPr>
          <w:b/>
          <w:color w:val="1B5E20"/>
        </w:rPr>
        <w:t xml:space="preserve">[V]</w:t>
      </w:r>
      <w:r>
        <w:rPr>
          <w:b/>
        </w:rPr>
        <w:t xml:space="preserve">. </w:t>
      </w:r>
      <w:r>
        <w:t xml:space="preserve">Es el hallazgo que más condiciona la decisión. Existe un Tratado de Libre Comercio Chile–Estados Unidos, pero </w:t>
      </w:r>
      <w:r>
        <w:rPr>
          <w:b/>
        </w:rPr>
        <w:t xml:space="preserve">desde el 24 de julio de 2026 Estados Unidos aplica una sobretasa arancelaria del 12,5 % a parte de las importaciones chilenas</w:t>
      </w:r>
      <w:r>
        <w:t xml:space="preserve">, en virtud de un Memorándum Presidencial firmado el 23 de julio de 2026. El fundamento invocado por la Oficina del Representante Comercial (USTR) es que Chile no habría implementado mecanismos eficaces para impedir el ingreso de bienes producidos con trabajo forzoso.</w:t>
      </w:r>
    </w:p>
    <w:p>
      <w:pPr>
        <w:spacing w:before="0" w:after="120" w:line="276" w:lineRule="auto"/>
        <w:jc w:val="both"/>
      </w:pPr>
      <w:r>
        <w:t xml:space="preserve">Según cifras de SUBREI difundidas en prensa </w:t>
      </w:r>
      <w:r>
        <w:rPr>
          <w:b/>
        </w:rPr>
        <w:t xml:space="preserve">[P]</w:t>
      </w:r>
      <w:r>
        <w:t xml:space="preserve">, el 53 % del valor exportado chileno continúa ingresando sin arancel, mientras cerca del 40 % enfrenta la sobretasa. Entre los productos afectados se cuentan salmón, frutas, vinos, maderas y carnes. Las negociaciones permanecen abiertas y SUBREI ha descartado un retorno total al arancel cero.</w:t>
      </w:r>
    </w:p>
    <w:p>
      <w:pPr>
        <w:pStyle w:val="Quote"/>
        <w:spacing w:before="0" w:after="120" w:line="276" w:lineRule="auto"/>
        <w:jc w:val="both"/>
      </w:pPr>
      <w:r>
        <w:rPr>
          <w:b/>
          <w:color w:val="B3261E"/>
        </w:rPr>
        <w:t xml:space="preserve">Verificación crítica </w:t>
      </w:r>
      <w:r>
        <w:rPr>
          <w:b/>
          <w:color w:val="B3261E"/>
        </w:rPr>
        <w:t xml:space="preserve">[!]</w:t>
      </w:r>
      <w:r>
        <w:rPr>
          <w:b/>
          <w:color w:val="B3261E"/>
        </w:rPr>
        <w:t xml:space="preserve">. </w:t>
      </w:r>
      <w:r>
        <w:rPr>
          <w:b/>
        </w:rPr>
        <w:t xml:space="preserve">Debe determinarse si la partida 2202.99 se encuentra en el 40 % afectado o en el 53 % exento. De ello depende por completo la viabilidad de Estados Unidos como mercado, y no constituye un supuesto que pueda asumirse.</w:t>
      </w:r>
    </w:p>
    <w:p>
      <w:pPr>
        <w:pStyle w:val="Heading3"/>
        <w:keepNext/>
        <w:spacing w:before="240" w:after="120" w:line="276" w:lineRule="auto"/>
      </w:pPr>
      <w:r>
        <w:t xml:space="preserve">Dimensión geográfica</w:t>
      </w:r>
    </w:p>
    <w:p>
      <w:pPr>
        <w:pStyle w:val="ListBullet"/>
        <w:spacing w:before="0" w:after="60" w:line="276" w:lineRule="auto"/>
        <w:ind w:left="360"/>
      </w:pPr>
      <w:r>
        <w:rPr>
          <w:b/>
        </w:rPr>
        <w:t xml:space="preserve">Uruguay (2): </w:t>
      </w:r>
      <w:r>
        <w:t xml:space="preserve">Sin frontera con Chile, pero con tránsito corto: vía terrestre cruzando Argentina o vía marítima. Mercado concentrado en Montevideo.</w:t>
      </w:r>
    </w:p>
    <w:p>
      <w:pPr>
        <w:pStyle w:val="ListBullet"/>
        <w:spacing w:before="0" w:after="60" w:line="276" w:lineRule="auto"/>
        <w:ind w:left="360"/>
      </w:pPr>
      <w:r>
        <w:rPr>
          <w:b/>
        </w:rPr>
        <w:t xml:space="preserve">Paraguay (4): </w:t>
      </w:r>
      <w:r>
        <w:t xml:space="preserve">País sin salida al mar. Obliga a tránsito terrestre por Argentina o Brasil con un cruce de frontera adicional, lo que suma costo, tiempo y exposición de la carga.</w:t>
      </w:r>
    </w:p>
    <w:p>
      <w:pPr>
        <w:pStyle w:val="ListBullet"/>
        <w:spacing w:before="0" w:after="60" w:line="276" w:lineRule="auto"/>
        <w:ind w:left="360"/>
      </w:pPr>
      <w:r>
        <w:rPr>
          <w:b/>
        </w:rPr>
        <w:t xml:space="preserve">Colombia (3): </w:t>
      </w:r>
      <w:r>
        <w:t xml:space="preserve">Ruta marítima por el Pacífico sin cruzar el continente, aunque con tránsito prolongado.</w:t>
      </w:r>
    </w:p>
    <w:p>
      <w:pPr>
        <w:pStyle w:val="ListBullet"/>
        <w:spacing w:before="0" w:after="60" w:line="276" w:lineRule="auto"/>
        <w:ind w:left="360"/>
      </w:pPr>
      <w:r>
        <w:rPr>
          <w:b/>
        </w:rPr>
        <w:t xml:space="preserve">Estados Unidos (5): </w:t>
      </w:r>
      <w:r>
        <w:t xml:space="preserve">Máxima distancia física. Resulta crítico para un producto líquido, pesado respecto de su valor y fermentado: el flete puede consumir el margen y la vida útil condiciona la ruta.</w:t>
      </w:r>
    </w:p>
    <w:p>
      <w:pPr>
        <w:pStyle w:val="Heading3"/>
        <w:keepNext/>
        <w:spacing w:before="240" w:after="120" w:line="276" w:lineRule="auto"/>
      </w:pPr>
      <w:r>
        <w:t xml:space="preserve">Dimensión económica</w:t>
      </w:r>
    </w:p>
    <w:p>
      <w:pPr>
        <w:pStyle w:val="ListBullet"/>
        <w:spacing w:before="0" w:after="60" w:line="276" w:lineRule="auto"/>
        <w:ind w:left="360"/>
      </w:pPr>
      <w:r>
        <w:rPr>
          <w:b/>
        </w:rPr>
        <w:t xml:space="preserve">Uruguay (2): </w:t>
      </w:r>
      <w:r>
        <w:t xml:space="preserve">Ingreso por habitante alto en el contexto regional y consumidor receptivo a producto premium importado.</w:t>
      </w:r>
    </w:p>
    <w:p>
      <w:pPr>
        <w:pStyle w:val="ListBullet"/>
        <w:spacing w:before="0" w:after="60" w:line="276" w:lineRule="auto"/>
        <w:ind w:left="360"/>
      </w:pPr>
      <w:r>
        <w:rPr>
          <w:b/>
        </w:rPr>
        <w:t xml:space="preserve">Paraguay (4): </w:t>
      </w:r>
      <w:r>
        <w:t xml:space="preserve">Menor poder de compra relativo en el segmento premium, que es precisamente el de Pinda.</w:t>
      </w:r>
    </w:p>
    <w:p>
      <w:pPr>
        <w:pStyle w:val="ListBullet"/>
        <w:spacing w:before="0" w:after="60" w:line="276" w:lineRule="auto"/>
        <w:ind w:left="360"/>
      </w:pPr>
      <w:r>
        <w:rPr>
          <w:b/>
        </w:rPr>
        <w:t xml:space="preserve">Colombia (3): </w:t>
      </w:r>
      <w:r>
        <w:t xml:space="preserve">Clase media urbana en crecimiento, con mayor sensibilidad al precio.</w:t>
      </w:r>
    </w:p>
    <w:p>
      <w:pPr>
        <w:pStyle w:val="ListBullet"/>
        <w:spacing w:before="0" w:after="60" w:line="276" w:lineRule="auto"/>
        <w:ind w:left="360"/>
      </w:pPr>
      <w:r>
        <w:rPr>
          <w:b/>
        </w:rPr>
        <w:t xml:space="preserve">Estados Unidos (2): </w:t>
      </w:r>
      <w:r>
        <w:t xml:space="preserve">Alto poder de compra. La distancia económica opera a favor: es el argumento de arbitraje que plantea el modelo.</w:t>
      </w:r>
    </w:p>
    <w:p>
      <w:pPr>
        <w:pStyle w:val="Heading3"/>
        <w:keepNext/>
        <w:spacing w:before="240" w:after="120" w:line="276" w:lineRule="auto"/>
      </w:pPr>
      <w:r>
        <w:t xml:space="preserve">Lectura conjunta de ambos modelos</w:t>
      </w:r>
    </w:p>
    <w:p>
      <w:pPr>
        <w:spacing w:before="0" w:after="120" w:line="276" w:lineRule="auto"/>
        <w:jc w:val="both"/>
      </w:pPr>
      <w:r>
        <w:t xml:space="preserve">Los modelos no coinciden, y esa discrepancia es justamente lo informativo del análisis.</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270"/>
        <w:gridCol w:w="2270"/>
        <w:gridCol w:w="2270"/>
        <w:gridCol w:w="2260"/>
      </w:tblGrid>
      <w:tr>
        <w:trPr>
          <w:tblHeader/>
          <w:cantSplit/>
        </w:trPr>
        <w:tc>
          <w:tcPr>
            <w:tcW w:w="22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Mercado</w:t>
            </w:r>
          </w:p>
        </w:tc>
        <w:tc>
          <w:tcPr>
            <w:tcW w:w="22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Papadopoulos (mayor es mejor)</w:t>
            </w:r>
          </w:p>
        </w:tc>
        <w:tc>
          <w:tcPr>
            <w:tcW w:w="22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CAGE (menor es mejor)</w:t>
            </w:r>
          </w:p>
        </w:tc>
        <w:tc>
          <w:tcPr>
            <w:tcW w:w="226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Suma de posiciones</w:t>
            </w:r>
          </w:p>
        </w:tc>
      </w:tr>
      <w:tr>
        <w:trPr>
          <w:cantSplit/>
        </w:trPr>
        <w:tc>
          <w:tcPr>
            <w:tcW w:w="2270" w:type="dxa"/>
            <w:vAlign w:val="center"/>
            <w:tcMar>
              <w:top w:w="80" w:type="dxa"/>
              <w:bottom w:w="80" w:type="dxa"/>
              <w:left w:w="110" w:type="dxa"/>
              <w:right w:w="110" w:type="dxa"/>
            </w:tcMar>
          </w:tcPr>
          <w:p>
            <w:pPr>
              <w:spacing w:before="0" w:after="0" w:line="276" w:lineRule="auto"/>
            </w:pPr>
            <w:r>
              <w:rPr>
                <w:b/>
              </w:rPr>
              <w:t xml:space="preserve">Uruguay</w:t>
            </w:r>
          </w:p>
        </w:tc>
        <w:tc>
          <w:tcPr>
            <w:tcW w:w="2270" w:type="dxa"/>
            <w:vAlign w:val="center"/>
            <w:tcMar>
              <w:top w:w="80" w:type="dxa"/>
              <w:bottom w:w="80" w:type="dxa"/>
              <w:left w:w="110" w:type="dxa"/>
              <w:right w:w="110" w:type="dxa"/>
            </w:tcMar>
          </w:tcPr>
          <w:p>
            <w:pPr>
              <w:spacing w:before="0" w:after="0" w:line="276" w:lineRule="auto"/>
              <w:jc w:val="center"/>
            </w:pPr>
            <w:r>
              <w:t xml:space="preserve">3.º  (67)</w:t>
            </w:r>
          </w:p>
        </w:tc>
        <w:tc>
          <w:tcPr>
            <w:tcW w:w="2270" w:type="dxa"/>
            <w:vAlign w:val="center"/>
            <w:tcMar>
              <w:top w:w="80" w:type="dxa"/>
              <w:bottom w:w="80" w:type="dxa"/>
              <w:left w:w="110" w:type="dxa"/>
              <w:right w:w="110" w:type="dxa"/>
            </w:tcMar>
          </w:tcPr>
          <w:p>
            <w:pPr>
              <w:spacing w:before="0" w:after="0" w:line="276" w:lineRule="auto"/>
              <w:jc w:val="center"/>
            </w:pPr>
            <w:r>
              <w:rPr>
                <w:b/>
                <w:color w:val="1B5E20"/>
              </w:rPr>
              <w:t xml:space="preserve">1.º  (6)</w:t>
            </w:r>
          </w:p>
        </w:tc>
        <w:tc>
          <w:tcPr>
            <w:tcW w:w="2260" w:type="dxa"/>
            <w:vAlign w:val="center"/>
            <w:tcMar>
              <w:top w:w="80" w:type="dxa"/>
              <w:bottom w:w="80" w:type="dxa"/>
              <w:left w:w="110" w:type="dxa"/>
              <w:right w:w="110" w:type="dxa"/>
            </w:tcMar>
          </w:tcPr>
          <w:p>
            <w:pPr>
              <w:spacing w:before="0" w:after="0" w:line="276" w:lineRule="auto"/>
              <w:jc w:val="center"/>
            </w:pPr>
            <w:r>
              <w:rPr>
                <w:b/>
              </w:rPr>
              <w:t xml:space="preserve">4</w:t>
            </w:r>
          </w:p>
        </w:tc>
      </w:tr>
      <w:tr>
        <w:trPr>
          <w:cantSplit/>
        </w:trPr>
        <w:tc>
          <w:tcPr>
            <w:tcW w:w="2270" w:type="dxa"/>
            <w:shd w:val="clear" w:color="auto" w:fill="F3F6F3"/>
            <w:vAlign w:val="center"/>
            <w:tcMar>
              <w:top w:w="80" w:type="dxa"/>
              <w:bottom w:w="80" w:type="dxa"/>
              <w:left w:w="110" w:type="dxa"/>
              <w:right w:w="110" w:type="dxa"/>
            </w:tcMar>
          </w:tcPr>
          <w:p>
            <w:pPr>
              <w:spacing w:before="0" w:after="0" w:line="276" w:lineRule="auto"/>
            </w:pPr>
            <w:r>
              <w:rPr>
                <w:b/>
              </w:rPr>
              <w:t xml:space="preserve">Colombia</w:t>
            </w:r>
          </w:p>
        </w:tc>
        <w:tc>
          <w:tcPr>
            <w:tcW w:w="2270" w:type="dxa"/>
            <w:shd w:val="clear" w:color="auto" w:fill="F3F6F3"/>
            <w:vAlign w:val="center"/>
            <w:tcMar>
              <w:top w:w="80" w:type="dxa"/>
              <w:bottom w:w="80" w:type="dxa"/>
              <w:left w:w="110" w:type="dxa"/>
              <w:right w:w="110" w:type="dxa"/>
            </w:tcMar>
          </w:tcPr>
          <w:p>
            <w:pPr>
              <w:spacing w:before="0" w:after="0" w:line="276" w:lineRule="auto"/>
              <w:jc w:val="center"/>
            </w:pPr>
            <w:r>
              <w:t xml:space="preserve">2.º  (69)</w:t>
            </w:r>
          </w:p>
        </w:tc>
        <w:tc>
          <w:tcPr>
            <w:tcW w:w="2270" w:type="dxa"/>
            <w:shd w:val="clear" w:color="auto" w:fill="F3F6F3"/>
            <w:vAlign w:val="center"/>
            <w:tcMar>
              <w:top w:w="80" w:type="dxa"/>
              <w:bottom w:w="80" w:type="dxa"/>
              <w:left w:w="110" w:type="dxa"/>
              <w:right w:w="110" w:type="dxa"/>
            </w:tcMar>
          </w:tcPr>
          <w:p>
            <w:pPr>
              <w:spacing w:before="0" w:after="0" w:line="276" w:lineRule="auto"/>
              <w:jc w:val="center"/>
            </w:pPr>
            <w:r>
              <w:t xml:space="preserve">2.º  (10)</w:t>
            </w:r>
          </w:p>
        </w:tc>
        <w:tc>
          <w:tcPr>
            <w:tcW w:w="226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4</w:t>
            </w:r>
          </w:p>
        </w:tc>
      </w:tr>
      <w:tr>
        <w:trPr>
          <w:cantSplit/>
        </w:trPr>
        <w:tc>
          <w:tcPr>
            <w:tcW w:w="2270" w:type="dxa"/>
            <w:vAlign w:val="center"/>
            <w:tcMar>
              <w:top w:w="80" w:type="dxa"/>
              <w:bottom w:w="80" w:type="dxa"/>
              <w:left w:w="110" w:type="dxa"/>
              <w:right w:w="110" w:type="dxa"/>
            </w:tcMar>
          </w:tcPr>
          <w:p>
            <w:pPr>
              <w:spacing w:before="0" w:after="0" w:line="276" w:lineRule="auto"/>
            </w:pPr>
            <w:r>
              <w:rPr>
                <w:b/>
              </w:rPr>
              <w:t xml:space="preserve">Estados Unidos</w:t>
            </w:r>
          </w:p>
        </w:tc>
        <w:tc>
          <w:tcPr>
            <w:tcW w:w="2270" w:type="dxa"/>
            <w:vAlign w:val="center"/>
            <w:tcMar>
              <w:top w:w="80" w:type="dxa"/>
              <w:bottom w:w="80" w:type="dxa"/>
              <w:left w:w="110" w:type="dxa"/>
              <w:right w:w="110" w:type="dxa"/>
            </w:tcMar>
          </w:tcPr>
          <w:p>
            <w:pPr>
              <w:spacing w:before="0" w:after="0" w:line="276" w:lineRule="auto"/>
              <w:jc w:val="center"/>
            </w:pPr>
            <w:r>
              <w:rPr>
                <w:b/>
                <w:color w:val="1B5E20"/>
              </w:rPr>
              <w:t xml:space="preserve">1.º  (75)</w:t>
            </w:r>
          </w:p>
        </w:tc>
        <w:tc>
          <w:tcPr>
            <w:tcW w:w="2270" w:type="dxa"/>
            <w:vAlign w:val="center"/>
            <w:tcMar>
              <w:top w:w="80" w:type="dxa"/>
              <w:bottom w:w="80" w:type="dxa"/>
              <w:left w:w="110" w:type="dxa"/>
              <w:right w:w="110" w:type="dxa"/>
            </w:tcMar>
          </w:tcPr>
          <w:p>
            <w:pPr>
              <w:spacing w:before="0" w:after="0" w:line="276" w:lineRule="auto"/>
              <w:jc w:val="center"/>
            </w:pPr>
            <w:r>
              <w:rPr>
                <w:color w:val="B3261E"/>
              </w:rPr>
              <w:t xml:space="preserve">4.º  (15)</w:t>
            </w:r>
          </w:p>
        </w:tc>
        <w:tc>
          <w:tcPr>
            <w:tcW w:w="2260" w:type="dxa"/>
            <w:vAlign w:val="center"/>
            <w:tcMar>
              <w:top w:w="80" w:type="dxa"/>
              <w:bottom w:w="80" w:type="dxa"/>
              <w:left w:w="110" w:type="dxa"/>
              <w:right w:w="110" w:type="dxa"/>
            </w:tcMar>
          </w:tcPr>
          <w:p>
            <w:pPr>
              <w:spacing w:before="0" w:after="0" w:line="276" w:lineRule="auto"/>
              <w:jc w:val="center"/>
            </w:pPr>
            <w:r>
              <w:t xml:space="preserve">5</w:t>
            </w:r>
          </w:p>
        </w:tc>
      </w:tr>
      <w:tr>
        <w:trPr>
          <w:cantSplit/>
        </w:trPr>
        <w:tc>
          <w:tcPr>
            <w:tcW w:w="2270" w:type="dxa"/>
            <w:shd w:val="clear" w:color="auto" w:fill="F3F6F3"/>
            <w:vAlign w:val="center"/>
            <w:tcMar>
              <w:top w:w="80" w:type="dxa"/>
              <w:bottom w:w="80" w:type="dxa"/>
              <w:left w:w="110" w:type="dxa"/>
              <w:right w:w="110" w:type="dxa"/>
            </w:tcMar>
          </w:tcPr>
          <w:p>
            <w:pPr>
              <w:spacing w:before="0" w:after="0" w:line="276" w:lineRule="auto"/>
            </w:pPr>
            <w:r>
              <w:rPr>
                <w:b/>
              </w:rPr>
              <w:t xml:space="preserve">Paraguay</w:t>
            </w:r>
          </w:p>
        </w:tc>
        <w:tc>
          <w:tcPr>
            <w:tcW w:w="2270" w:type="dxa"/>
            <w:shd w:val="clear" w:color="auto" w:fill="F3F6F3"/>
            <w:vAlign w:val="center"/>
            <w:tcMar>
              <w:top w:w="80" w:type="dxa"/>
              <w:bottom w:w="80" w:type="dxa"/>
              <w:left w:w="110" w:type="dxa"/>
              <w:right w:w="110" w:type="dxa"/>
            </w:tcMar>
          </w:tcPr>
          <w:p>
            <w:pPr>
              <w:spacing w:before="0" w:after="0" w:line="276" w:lineRule="auto"/>
              <w:jc w:val="center"/>
            </w:pPr>
            <w:r>
              <w:rPr>
                <w:color w:val="B3261E"/>
              </w:rPr>
              <w:t xml:space="preserve">4.º  (52)</w:t>
            </w:r>
          </w:p>
        </w:tc>
        <w:tc>
          <w:tcPr>
            <w:tcW w:w="2270" w:type="dxa"/>
            <w:shd w:val="clear" w:color="auto" w:fill="F3F6F3"/>
            <w:vAlign w:val="center"/>
            <w:tcMar>
              <w:top w:w="80" w:type="dxa"/>
              <w:bottom w:w="80" w:type="dxa"/>
              <w:left w:w="110" w:type="dxa"/>
              <w:right w:w="110" w:type="dxa"/>
            </w:tcMar>
          </w:tcPr>
          <w:p>
            <w:pPr>
              <w:spacing w:before="0" w:after="0" w:line="276" w:lineRule="auto"/>
              <w:jc w:val="center"/>
            </w:pPr>
            <w:r>
              <w:t xml:space="preserve">3.º  (13)</w:t>
            </w:r>
          </w:p>
        </w:tc>
        <w:tc>
          <w:tcPr>
            <w:tcW w:w="226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7</w:t>
            </w:r>
          </w:p>
        </w:tc>
      </w:tr>
    </w:tbl>
    <w:p>
      <w:pPr>
        <w:spacing w:before="0" w:after="120" w:line="276" w:lineRule="auto"/>
      </w:pPr>
      <w:r>
        <w:t xml:space="preserve"/>
      </w:r>
    </w:p>
    <w:p>
      <w:pPr>
        <w:spacing w:before="0" w:after="200" w:line="276" w:lineRule="auto"/>
        <w:jc w:val="left"/>
      </w:pPr>
      <w:r>
        <w:rPr>
          <w:b/>
          <w:sz w:val="18"/>
        </w:rPr>
        <w:t xml:space="preserve">Tabla 5. </w:t>
      </w:r>
      <w:r>
        <w:rPr>
          <w:sz w:val="18"/>
        </w:rPr>
        <w:t xml:space="preserve">Comparación de resultados de ambos modelos.</w:t>
      </w:r>
    </w:p>
    <w:p>
      <w:pPr>
        <w:spacing w:before="0" w:after="120" w:line="276" w:lineRule="auto"/>
        <w:jc w:val="both"/>
      </w:pPr>
      <w:r>
        <w:rPr>
          <w:b/>
        </w:rPr>
        <w:t xml:space="preserve">Estados Unidos es el más atractivo y el más distante a la vez.</w:t>
      </w:r>
      <w:r>
        <w:t xml:space="preserve"> Lidera el índice Papadopoulos con 75 y queda último en CAGE con 15. Esa contradicción constituye el eje de la decisión: atractivo no equivale a accesible.</w:t>
      </w:r>
    </w:p>
    <w:p>
      <w:pPr>
        <w:spacing w:before="0" w:after="120" w:line="276" w:lineRule="auto"/>
        <w:jc w:val="both"/>
      </w:pPr>
      <w:r>
        <w:rPr>
          <w:b/>
        </w:rPr>
        <w:t xml:space="preserve">Colombia es el único que queda segundo en ambos modelos.</w:t>
      </w:r>
      <w:r>
        <w:t xml:space="preserve"> No lidera ninguno, pero tampoco queda último en ninguno: es la opción de mayor consistencia.</w:t>
      </w:r>
    </w:p>
    <w:p>
      <w:pPr>
        <w:spacing w:before="0" w:after="120" w:line="276" w:lineRule="auto"/>
        <w:jc w:val="both"/>
      </w:pPr>
      <w:r>
        <w:rPr>
          <w:b/>
        </w:rPr>
        <w:t xml:space="preserve">Paraguay presenta la peor posición combinada.</w:t>
      </w:r>
      <w:r>
        <w:t xml:space="preserve"> Conviene precisar que no queda último en ambos modelos: en CAGE ocupa el tercer lugar, por delante de Estados Unidos. Sin embargo, es el único que nunca sube del tercer puesto y además es último en atractivo comercial.</w:t>
      </w:r>
    </w:p>
    <w:p>
      <w:r>
        <w:br w:type="page"/>
      </w:r>
    </w:p>
    <w:p>
      <w:pPr>
        <w:pStyle w:val="Heading2"/>
        <w:keepNext/>
        <w:spacing w:before="0" w:after="120" w:line="276" w:lineRule="auto"/>
      </w:pPr>
      <w:r>
        <w:t xml:space="preserve">1.c  Matriz oferta regional vs demanda de destino</w:t>
      </w:r>
    </w:p>
    <w:p>
      <w:pPr>
        <w:spacing w:before="0" w:after="120" w:line="276" w:lineRule="auto"/>
        <w:jc w:val="both"/>
      </w:pPr>
      <w:r>
        <w:t xml:space="preserve">Esta matriz cruza lo que la Región de Los Ríos puede efectivamente embarcar contra lo que cada mercado de destino demanda. Cierra con la decisión de producto-mercado que se desprende de los dos modelos anteriores y de este cruce.</w:t>
      </w:r>
    </w:p>
    <w:p>
      <w:pPr>
        <w:pStyle w:val="Heading3"/>
        <w:keepNext/>
        <w:spacing w:before="240" w:after="120" w:line="276" w:lineRule="auto"/>
      </w:pPr>
      <w:r>
        <w:t xml:space="preserve">Oferta regional — Región de Los Ríos</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500"/>
        <w:gridCol w:w="5770"/>
        <w:gridCol w:w="800"/>
      </w:tblGrid>
      <w:tr>
        <w:trPr>
          <w:tblHeader/>
          <w:cantSplit/>
        </w:trPr>
        <w:tc>
          <w:tcPr>
            <w:tcW w:w="25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Variable</w:t>
            </w:r>
          </w:p>
        </w:tc>
        <w:tc>
          <w:tcPr>
            <w:tcW w:w="57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Situación</w:t>
            </w:r>
          </w:p>
        </w:tc>
        <w:tc>
          <w:tcPr>
            <w:tcW w:w="8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Marca</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Producto</w:t>
            </w:r>
          </w:p>
        </w:tc>
        <w:tc>
          <w:tcPr>
            <w:tcW w:w="5770" w:type="dxa"/>
            <w:vAlign w:val="center"/>
            <w:tcMar>
              <w:top w:w="80" w:type="dxa"/>
              <w:bottom w:w="80" w:type="dxa"/>
              <w:left w:w="110" w:type="dxa"/>
              <w:right w:w="110" w:type="dxa"/>
            </w:tcMar>
          </w:tcPr>
          <w:p>
            <w:pPr>
              <w:spacing w:before="0" w:after="0" w:line="276" w:lineRule="auto"/>
            </w:pPr>
            <w:r>
              <w:t xml:space="preserve">Kombucha artesanal: línea frutal y línea funcional con hongos adaptógenos</w:t>
            </w:r>
          </w:p>
        </w:tc>
        <w:tc>
          <w:tcPr>
            <w:tcW w:w="800" w:type="dxa"/>
            <w:vAlign w:val="center"/>
            <w:tcMar>
              <w:top w:w="80" w:type="dxa"/>
              <w:bottom w:w="80" w:type="dxa"/>
              <w:left w:w="110" w:type="dxa"/>
              <w:right w:w="110" w:type="dxa"/>
            </w:tcMar>
          </w:tcPr>
          <w:p>
            <w:pPr>
              <w:spacing w:before="0" w:after="0" w:line="276" w:lineRule="auto"/>
              <w:jc w:val="center"/>
            </w:pPr>
            <w:r>
              <w:rPr>
                <w:b/>
                <w:color w:val="1B5E20"/>
              </w:rPr>
              <w:t xml:space="preserve">[V]</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Formatos</w:t>
            </w:r>
          </w:p>
        </w:tc>
        <w:tc>
          <w:tcPr>
            <w:tcW w:w="5770" w:type="dxa"/>
            <w:shd w:val="clear" w:color="auto" w:fill="F3F6F3"/>
            <w:vAlign w:val="center"/>
            <w:tcMar>
              <w:top w:w="80" w:type="dxa"/>
              <w:bottom w:w="80" w:type="dxa"/>
              <w:left w:w="110" w:type="dxa"/>
              <w:right w:w="110" w:type="dxa"/>
            </w:tcMar>
          </w:tcPr>
          <w:p>
            <w:pPr>
              <w:spacing w:before="0" w:after="0" w:line="276" w:lineRule="auto"/>
            </w:pPr>
            <w:r>
              <w:t xml:space="preserve">Packs de 12 y 24 latas; botella de 330 ml</w:t>
            </w:r>
          </w:p>
        </w:tc>
        <w:tc>
          <w:tcPr>
            <w:tcW w:w="800" w:type="dxa"/>
            <w:shd w:val="clear" w:color="auto" w:fill="F3F6F3"/>
            <w:vAlign w:val="center"/>
            <w:tcMar>
              <w:top w:w="80" w:type="dxa"/>
              <w:bottom w:w="80" w:type="dxa"/>
              <w:left w:w="110" w:type="dxa"/>
              <w:right w:w="110" w:type="dxa"/>
            </w:tcMar>
          </w:tcPr>
          <w:p>
            <w:pPr>
              <w:spacing w:before="0" w:after="0" w:line="276" w:lineRule="auto"/>
              <w:jc w:val="center"/>
            </w:pPr>
            <w:r>
              <w:rPr>
                <w:b/>
                <w:color w:val="1B5E20"/>
              </w:rPr>
              <w:t xml:space="preserve">[V]</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Volumen y valor exportado actual</w:t>
            </w:r>
          </w:p>
        </w:tc>
        <w:tc>
          <w:tcPr>
            <w:tcW w:w="5770" w:type="dxa"/>
            <w:vAlign w:val="center"/>
            <w:tcMar>
              <w:top w:w="80" w:type="dxa"/>
              <w:bottom w:w="80" w:type="dxa"/>
              <w:left w:w="110" w:type="dxa"/>
              <w:right w:w="110" w:type="dxa"/>
            </w:tcMar>
          </w:tcPr>
          <w:p>
            <w:pPr>
              <w:spacing w:before="0" w:after="0" w:line="276" w:lineRule="auto"/>
            </w:pPr>
            <w:r>
              <w:rPr>
                <w:b/>
              </w:rPr>
              <w:t xml:space="preserve">Cero: Pinda no exporta en la actualidad. </w:t>
            </w:r>
            <w:r>
              <w:t xml:space="preserve">El plan parte de una base exportadora nula.</w:t>
            </w:r>
          </w:p>
        </w:tc>
        <w:tc>
          <w:tcPr>
            <w:tcW w:w="800" w:type="dxa"/>
            <w:vAlign w:val="center"/>
            <w:tcMar>
              <w:top w:w="80" w:type="dxa"/>
              <w:bottom w:w="80" w:type="dxa"/>
              <w:left w:w="110" w:type="dxa"/>
              <w:right w:w="110" w:type="dxa"/>
            </w:tcMar>
          </w:tcPr>
          <w:p>
            <w:pPr>
              <w:spacing w:before="0" w:after="0" w:line="276" w:lineRule="auto"/>
              <w:jc w:val="center"/>
            </w:pPr>
            <w:r>
              <w:rPr>
                <w:b/>
                <w:color w:val="1B5E20"/>
              </w:rPr>
              <w:t xml:space="preserve">[V]</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Capacidad productiva y de empaque</w:t>
            </w:r>
          </w:p>
        </w:tc>
        <w:tc>
          <w:tcPr>
            <w:tcW w:w="5770" w:type="dxa"/>
            <w:shd w:val="clear" w:color="auto" w:fill="F3F6F3"/>
            <w:vAlign w:val="center"/>
            <w:tcMar>
              <w:top w:w="80" w:type="dxa"/>
              <w:bottom w:w="80" w:type="dxa"/>
              <w:left w:w="110" w:type="dxa"/>
              <w:right w:w="110" w:type="dxa"/>
            </w:tcMar>
          </w:tcPr>
          <w:p>
            <w:pPr>
              <w:spacing w:before="0" w:after="0" w:line="276" w:lineRule="auto"/>
            </w:pPr>
            <w:r>
              <w:rPr>
                <w:color w:val="B3261E"/>
              </w:rPr>
              <w:t xml:space="preserve">Pendiente. Dato de la empresa; constituye el techo real del plan.</w:t>
            </w:r>
          </w:p>
        </w:tc>
        <w:tc>
          <w:tcPr>
            <w:tcW w:w="8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Puerto de embarque disponible</w:t>
            </w:r>
          </w:p>
        </w:tc>
        <w:tc>
          <w:tcPr>
            <w:tcW w:w="5770" w:type="dxa"/>
            <w:vAlign w:val="center"/>
            <w:tcMar>
              <w:top w:w="80" w:type="dxa"/>
              <w:bottom w:w="80" w:type="dxa"/>
              <w:left w:w="110" w:type="dxa"/>
              <w:right w:w="110" w:type="dxa"/>
            </w:tcMar>
          </w:tcPr>
          <w:p>
            <w:pPr>
              <w:spacing w:before="0" w:after="0" w:line="276" w:lineRule="auto"/>
            </w:pPr>
            <w:r>
              <w:t xml:space="preserve">San Antonio o Valparaíso para vía marítima; vía terrestre por pasos cordilleranos del sur hacia Argentina. Confirmar operador y frecuencia.</w:t>
            </w:r>
          </w:p>
        </w:tc>
        <w:tc>
          <w:tcPr>
            <w:tcW w:w="8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Estándares de calidad alcanzados</w:t>
            </w:r>
          </w:p>
        </w:tc>
        <w:tc>
          <w:tcPr>
            <w:tcW w:w="5770" w:type="dxa"/>
            <w:shd w:val="clear" w:color="auto" w:fill="F3F6F3"/>
            <w:vAlign w:val="center"/>
            <w:tcMar>
              <w:top w:w="80" w:type="dxa"/>
              <w:bottom w:w="80" w:type="dxa"/>
              <w:left w:w="110" w:type="dxa"/>
              <w:right w:w="110" w:type="dxa"/>
            </w:tcMar>
          </w:tcPr>
          <w:p>
            <w:pPr>
              <w:spacing w:before="0" w:after="0" w:line="276" w:lineRule="auto"/>
            </w:pPr>
            <w:r>
              <w:t xml:space="preserve">Siete premios internacionales y latinoamericanos entre 2024 y 2025, en competencias de Europa y Sudamérica</w:t>
            </w:r>
          </w:p>
        </w:tc>
        <w:tc>
          <w:tcPr>
            <w:tcW w:w="80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[P]</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Certificación orgánica</w:t>
            </w:r>
          </w:p>
        </w:tc>
        <w:tc>
          <w:tcPr>
            <w:tcW w:w="5770" w:type="dxa"/>
            <w:vAlign w:val="center"/>
            <w:tcMar>
              <w:top w:w="80" w:type="dxa"/>
              <w:bottom w:w="80" w:type="dxa"/>
              <w:left w:w="110" w:type="dxa"/>
              <w:right w:w="110" w:type="dxa"/>
            </w:tcMar>
          </w:tcPr>
          <w:p>
            <w:pPr>
              <w:spacing w:before="0" w:after="0" w:line="276" w:lineRule="auto"/>
            </w:pPr>
            <w:r>
              <w:rPr>
                <w:b/>
              </w:rPr>
              <w:t xml:space="preserve">No declarada. </w:t>
            </w:r>
            <w:r>
              <w:t xml:space="preserve">El competidor chileno Kombuchacha sí la declara.</w:t>
            </w:r>
          </w:p>
        </w:tc>
        <w:tc>
          <w:tcPr>
            <w:tcW w:w="800" w:type="dxa"/>
            <w:vAlign w:val="center"/>
            <w:tcMar>
              <w:top w:w="80" w:type="dxa"/>
              <w:bottom w:w="80" w:type="dxa"/>
              <w:left w:w="110" w:type="dxa"/>
              <w:right w:w="110" w:type="dxa"/>
            </w:tcMar>
          </w:tcPr>
          <w:p>
            <w:pPr>
              <w:spacing w:before="0" w:after="0" w:line="276" w:lineRule="auto"/>
              <w:jc w:val="center"/>
            </w:pPr>
            <w:r>
              <w:rPr>
                <w:b/>
              </w:rPr>
              <w:t xml:space="preserve">[P]</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Perfil exportador de la región</w:t>
            </w:r>
          </w:p>
        </w:tc>
        <w:tc>
          <w:tcPr>
            <w:tcW w:w="5770" w:type="dxa"/>
            <w:shd w:val="clear" w:color="auto" w:fill="F3F6F3"/>
            <w:vAlign w:val="center"/>
            <w:tcMar>
              <w:top w:w="80" w:type="dxa"/>
              <w:bottom w:w="80" w:type="dxa"/>
              <w:left w:w="110" w:type="dxa"/>
              <w:right w:w="110" w:type="dxa"/>
            </w:tcMar>
          </w:tcPr>
          <w:p>
            <w:pPr>
              <w:spacing w:before="0" w:after="0" w:line="276" w:lineRule="auto"/>
            </w:pPr>
            <w:r>
              <w:t xml:space="preserve">Dominado por madera y productos forestales. La kombucha representaría diversificación y no continuidad del perfil regional.</w:t>
            </w:r>
          </w:p>
        </w:tc>
        <w:tc>
          <w:tcPr>
            <w:tcW w:w="80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[P]</w:t>
            </w:r>
          </w:p>
        </w:tc>
      </w:tr>
    </w:tbl>
    <w:p>
      <w:pPr>
        <w:spacing w:before="0" w:after="120" w:line="276" w:lineRule="auto"/>
      </w:pPr>
      <w:r>
        <w:t xml:space="preserve"/>
      </w:r>
    </w:p>
    <w:p>
      <w:pPr>
        <w:spacing w:before="0" w:after="200" w:line="276" w:lineRule="auto"/>
        <w:jc w:val="left"/>
      </w:pPr>
      <w:r>
        <w:rPr>
          <w:b/>
          <w:sz w:val="18"/>
        </w:rPr>
        <w:t xml:space="preserve">Tabla 6. </w:t>
      </w:r>
      <w:r>
        <w:rPr>
          <w:sz w:val="18"/>
        </w:rPr>
        <w:t xml:space="preserve">Oferta exportable regional aplicada al producto.</w:t>
      </w:r>
    </w:p>
    <w:p>
      <w:pPr>
        <w:spacing w:before="0" w:after="120" w:line="276" w:lineRule="auto"/>
        <w:jc w:val="both"/>
      </w:pPr>
      <w:r>
        <w:t xml:space="preserve">Nota de contexto </w:t>
      </w:r>
      <w:r>
        <w:rPr>
          <w:b/>
        </w:rPr>
        <w:t xml:space="preserve">[P]</w:t>
      </w:r>
      <w:r>
        <w:t xml:space="preserve">. El Instituto Nacional de Estadísticas cifró las exportaciones de la Región de Los Ríos en US$ 473 millones en 2016, un 21,1 % menos que en 2015. Es un dato antiguo que solo sirve para dimensionar; </w:t>
      </w:r>
      <w:r>
        <w:rPr>
          <w:b/>
          <w:color w:val="B3261E"/>
        </w:rPr>
        <w:t xml:space="preserve">[!]</w:t>
      </w:r>
      <w:r>
        <w:t xml:space="preserve"> debe actualizarse con la serie vigente del INE o de ProChile.</w:t>
      </w:r>
    </w:p>
    <w:p>
      <w:pPr>
        <w:pStyle w:val="Heading3"/>
        <w:keepNext/>
        <w:spacing w:before="240" w:after="120" w:line="276" w:lineRule="auto"/>
      </w:pPr>
      <w:r>
        <w:t xml:space="preserve">Demanda de destino</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670"/>
        <w:gridCol w:w="1600"/>
        <w:gridCol w:w="1600"/>
        <w:gridCol w:w="1600"/>
        <w:gridCol w:w="1600"/>
      </w:tblGrid>
      <w:tr>
        <w:trPr>
          <w:tblHeader/>
          <w:cantSplit/>
        </w:trPr>
        <w:tc>
          <w:tcPr>
            <w:tcW w:w="26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Variable</w:t>
            </w:r>
          </w:p>
        </w:tc>
        <w:tc>
          <w:tcPr>
            <w:tcW w:w="16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Uruguay</w:t>
            </w:r>
          </w:p>
        </w:tc>
        <w:tc>
          <w:tcPr>
            <w:tcW w:w="16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Paraguay</w:t>
            </w:r>
          </w:p>
        </w:tc>
        <w:tc>
          <w:tcPr>
            <w:tcW w:w="16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Colombia</w:t>
            </w:r>
          </w:p>
        </w:tc>
        <w:tc>
          <w:tcPr>
            <w:tcW w:w="16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EE.UU.</w:t>
            </w:r>
          </w:p>
        </w:tc>
      </w:tr>
      <w:tr>
        <w:trPr>
          <w:cantSplit/>
        </w:trPr>
        <w:tc>
          <w:tcPr>
            <w:tcW w:w="2670" w:type="dxa"/>
            <w:vAlign w:val="center"/>
            <w:tcMar>
              <w:top w:w="80" w:type="dxa"/>
              <w:bottom w:w="80" w:type="dxa"/>
              <w:left w:w="110" w:type="dxa"/>
              <w:right w:w="110" w:type="dxa"/>
            </w:tcMar>
          </w:tcPr>
          <w:p>
            <w:pPr>
              <w:spacing w:before="0" w:after="0" w:line="276" w:lineRule="auto"/>
            </w:pPr>
            <w:r>
              <w:t xml:space="preserve">Volumen importado 2202.99</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shd w:val="clear" w:color="auto" w:fill="F3F6F3"/>
            <w:vAlign w:val="center"/>
            <w:tcMar>
              <w:top w:w="80" w:type="dxa"/>
              <w:bottom w:w="80" w:type="dxa"/>
              <w:left w:w="110" w:type="dxa"/>
              <w:right w:w="110" w:type="dxa"/>
            </w:tcMar>
          </w:tcPr>
          <w:p>
            <w:pPr>
              <w:spacing w:before="0" w:after="0" w:line="276" w:lineRule="auto"/>
            </w:pPr>
            <w:r>
              <w:t xml:space="preserve">Valor importado 2202.99</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vAlign w:val="center"/>
            <w:tcMar>
              <w:top w:w="80" w:type="dxa"/>
              <w:bottom w:w="80" w:type="dxa"/>
              <w:left w:w="110" w:type="dxa"/>
              <w:right w:w="110" w:type="dxa"/>
            </w:tcMar>
          </w:tcPr>
          <w:p>
            <w:pPr>
              <w:spacing w:before="0" w:after="0" w:line="276" w:lineRule="auto"/>
            </w:pPr>
            <w:r>
              <w:t xml:space="preserve">Tendencia últimos 5 años</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shd w:val="clear" w:color="auto" w:fill="F3F6F3"/>
            <w:vAlign w:val="center"/>
            <w:tcMar>
              <w:top w:w="80" w:type="dxa"/>
              <w:bottom w:w="80" w:type="dxa"/>
              <w:left w:w="110" w:type="dxa"/>
              <w:right w:w="110" w:type="dxa"/>
            </w:tcMar>
          </w:tcPr>
          <w:p>
            <w:pPr>
              <w:spacing w:before="0" w:after="0" w:line="276" w:lineRule="auto"/>
            </w:pPr>
            <w:r>
              <w:t xml:space="preserve">Quién domina el mercado</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vAlign w:val="center"/>
            <w:tcMar>
              <w:top w:w="80" w:type="dxa"/>
              <w:bottom w:w="80" w:type="dxa"/>
              <w:left w:w="110" w:type="dxa"/>
              <w:right w:w="110" w:type="dxa"/>
            </w:tcMar>
          </w:tcPr>
          <w:p>
            <w:pPr>
              <w:spacing w:before="0" w:after="0" w:line="276" w:lineRule="auto"/>
            </w:pPr>
            <w:r>
              <w:t xml:space="preserve">Precio de referencia US$/unidad</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shd w:val="clear" w:color="auto" w:fill="F3F6F3"/>
            <w:vAlign w:val="center"/>
            <w:tcMar>
              <w:top w:w="80" w:type="dxa"/>
              <w:bottom w:w="80" w:type="dxa"/>
              <w:left w:w="110" w:type="dxa"/>
              <w:right w:w="110" w:type="dxa"/>
            </w:tcMar>
          </w:tcPr>
          <w:p>
            <w:pPr>
              <w:spacing w:before="0" w:after="0" w:line="276" w:lineRule="auto"/>
            </w:pPr>
            <w:r>
              <w:t xml:space="preserve">Acuerdo comercial vigente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1B5E20"/>
              </w:rPr>
              <w:t xml:space="preserve">ACE 35 + ACE 73</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ACE 35</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Alianza del Pacífico</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TLC + sobretasa 12,5 %</w:t>
            </w:r>
          </w:p>
        </w:tc>
      </w:tr>
      <w:tr>
        <w:trPr>
          <w:cantSplit/>
        </w:trPr>
        <w:tc>
          <w:tcPr>
            <w:tcW w:w="2670" w:type="dxa"/>
            <w:vAlign w:val="center"/>
            <w:tcMar>
              <w:top w:w="80" w:type="dxa"/>
              <w:bottom w:w="80" w:type="dxa"/>
              <w:left w:w="110" w:type="dxa"/>
              <w:right w:w="110" w:type="dxa"/>
            </w:tcMar>
          </w:tcPr>
          <w:p>
            <w:pPr>
              <w:spacing w:before="0" w:after="0" w:line="276" w:lineRule="auto"/>
            </w:pPr>
            <w:r>
              <w:t xml:space="preserve">Arancel aplicable a 2202.99</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shd w:val="clear" w:color="auto" w:fill="F3F6F3"/>
            <w:vAlign w:val="center"/>
            <w:tcMar>
              <w:top w:w="80" w:type="dxa"/>
              <w:bottom w:w="80" w:type="dxa"/>
              <w:left w:w="110" w:type="dxa"/>
              <w:right w:w="110" w:type="dxa"/>
            </w:tcMar>
          </w:tcPr>
          <w:p>
            <w:pPr>
              <w:spacing w:before="0" w:after="0" w:line="276" w:lineRule="auto"/>
            </w:pPr>
            <w:r>
              <w:t xml:space="preserve">Tipo de cambio CLP / moneda local</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r>
    </w:tbl>
    <w:p>
      <w:pPr>
        <w:spacing w:before="0" w:after="120" w:line="276" w:lineRule="auto"/>
      </w:pPr>
      <w:r>
        <w:t xml:space="preserve"/>
      </w:r>
    </w:p>
    <w:p>
      <w:pPr>
        <w:spacing w:before="0" w:after="200" w:line="276" w:lineRule="auto"/>
        <w:jc w:val="left"/>
      </w:pPr>
      <w:r>
        <w:rPr>
          <w:b/>
          <w:sz w:val="18"/>
        </w:rPr>
        <w:t xml:space="preserve">Tabla 7. </w:t>
      </w:r>
      <w:r>
        <w:rPr>
          <w:sz w:val="18"/>
        </w:rPr>
        <w:t xml:space="preserve">Demanda de los mercados de destino. Las celdas marcadas [!] constituyen la tarea pendiente de este apartado.</w:t>
      </w:r>
    </w:p>
    <w:p>
      <w:pPr>
        <w:spacing w:before="0" w:after="120" w:line="276" w:lineRule="auto"/>
        <w:jc w:val="both"/>
      </w:pPr>
      <w:r>
        <w:rPr>
          <w:b/>
        </w:rPr>
        <w:t xml:space="preserve">Las celdas pendientes se dejaron marcadas en lugar de completarse con estimaciones</w:t>
      </w:r>
      <w:r>
        <w:t xml:space="preserve">. Fuentes para obtener cada una:</w:t>
      </w:r>
    </w:p>
    <w:p>
      <w:pPr>
        <w:pStyle w:val="ListNumber"/>
        <w:spacing w:before="0" w:after="60" w:line="276" w:lineRule="auto"/>
        <w:ind w:left="360"/>
      </w:pPr>
      <w:r>
        <w:rPr>
          <w:b/>
        </w:rPr>
        <w:t xml:space="preserve">Volumen, valor y tendencia: </w:t>
      </w:r>
      <w:r>
        <w:t xml:space="preserve">Trade Map (ITC) o UN Comtrade, filtrando por partida 2202.99 y país importador.</w:t>
      </w:r>
    </w:p>
    <w:p>
      <w:pPr>
        <w:pStyle w:val="ListNumber"/>
        <w:spacing w:before="0" w:after="60" w:line="276" w:lineRule="auto"/>
        <w:ind w:left="360"/>
      </w:pPr>
      <w:r>
        <w:rPr>
          <w:b/>
        </w:rPr>
        <w:t xml:space="preserve">Quién domina el mercado: </w:t>
      </w:r>
      <w:r>
        <w:t xml:space="preserve">Trade Map entrega los países proveedores; los competidores de marca se identifican en el retail de cada destino.</w:t>
      </w:r>
    </w:p>
    <w:p>
      <w:pPr>
        <w:pStyle w:val="ListNumber"/>
        <w:spacing w:before="0" w:after="60" w:line="276" w:lineRule="auto"/>
        <w:ind w:left="360"/>
      </w:pPr>
      <w:r>
        <w:rPr>
          <w:b/>
        </w:rPr>
        <w:t xml:space="preserve">Precio de referencia: </w:t>
      </w:r>
      <w:r>
        <w:t xml:space="preserve">comercio electrónico y retail del destino, expresado en US$ por unidad equivalente de 330 ml para que resulte comparable.</w:t>
      </w:r>
    </w:p>
    <w:p>
      <w:pPr>
        <w:pStyle w:val="ListNumber"/>
        <w:spacing w:before="0" w:after="60" w:line="276" w:lineRule="auto"/>
        <w:ind w:left="360"/>
      </w:pPr>
      <w:r>
        <w:rPr>
          <w:b/>
        </w:rPr>
        <w:t xml:space="preserve">Arancel aplicable: </w:t>
      </w:r>
      <w:r>
        <w:t xml:space="preserve">arancel de aduanas de cada país con el código local completo, más la lista de desgravación del acuerdo correspondiente.</w:t>
      </w:r>
    </w:p>
    <w:p>
      <w:pPr>
        <w:pStyle w:val="ListNumber"/>
        <w:spacing w:before="0" w:after="60" w:line="276" w:lineRule="auto"/>
        <w:ind w:left="360"/>
      </w:pPr>
      <w:r>
        <w:rPr>
          <w:b/>
        </w:rPr>
        <w:t xml:space="preserve">Tipo de cambio: </w:t>
      </w:r>
      <w:r>
        <w:t xml:space="preserve">Banco Central de Chile, indicando fecha explícita. Varía a diario y sin fecha no resulta citable.</w:t>
      </w:r>
    </w:p>
    <w:p>
      <w:pPr>
        <w:pStyle w:val="Heading3"/>
        <w:keepNext/>
        <w:spacing w:before="240" w:after="120" w:line="276" w:lineRule="auto"/>
      </w:pPr>
      <w:r>
        <w:t xml:space="preserve">Decisión de producto-mercado</w:t>
      </w:r>
    </w:p>
    <w:p>
      <w:pPr>
        <w:pStyle w:val="Quote"/>
        <w:spacing w:before="0" w:after="120" w:line="276" w:lineRule="auto"/>
        <w:jc w:val="both"/>
      </w:pPr>
      <w:r>
        <w:rPr>
          <w:i/>
        </w:rPr>
        <w:t xml:space="preserve">Criterio de la asignatura: decisión = síntesis de los modelos + acuerdo comercial vigente + tipo de cambio.</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620"/>
        <w:gridCol w:w="1550"/>
        <w:gridCol w:w="1900"/>
        <w:gridCol w:w="5000"/>
      </w:tblGrid>
      <w:tr>
        <w:trPr>
          <w:tblHeader/>
          <w:cantSplit/>
        </w:trPr>
        <w:tc>
          <w:tcPr>
            <w:tcW w:w="62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Orden</w:t>
            </w:r>
          </w:p>
        </w:tc>
        <w:tc>
          <w:tcPr>
            <w:tcW w:w="15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Mercado</w:t>
            </w:r>
          </w:p>
        </w:tc>
        <w:tc>
          <w:tcPr>
            <w:tcW w:w="19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Rol propuesto</w:t>
            </w:r>
          </w:p>
        </w:tc>
        <w:tc>
          <w:tcPr>
            <w:tcW w:w="50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Fundamento</w:t>
            </w:r>
          </w:p>
        </w:tc>
      </w:tr>
      <w:tr>
        <w:trPr>
          <w:cantSplit/>
        </w:trPr>
        <w:tc>
          <w:tcPr>
            <w:tcW w:w="620" w:type="dxa"/>
            <w:vAlign w:val="center"/>
            <w:tcMar>
              <w:top w:w="80" w:type="dxa"/>
              <w:bottom w:w="80" w:type="dxa"/>
              <w:left w:w="110" w:type="dxa"/>
              <w:right w:w="110" w:type="dxa"/>
            </w:tcMar>
          </w:tcPr>
          <w:p>
            <w:pPr>
              <w:spacing w:before="0" w:after="0" w:line="276" w:lineRule="auto"/>
              <w:jc w:val="center"/>
            </w:pPr>
            <w:r>
              <w:rPr>
                <w:b/>
              </w:rPr>
              <w:t xml:space="preserve">1.º</w:t>
            </w:r>
          </w:p>
        </w:tc>
        <w:tc>
          <w:tcPr>
            <w:tcW w:w="1550" w:type="dxa"/>
            <w:vAlign w:val="center"/>
            <w:tcMar>
              <w:top w:w="80" w:type="dxa"/>
              <w:bottom w:w="80" w:type="dxa"/>
              <w:left w:w="110" w:type="dxa"/>
              <w:right w:w="110" w:type="dxa"/>
            </w:tcMar>
          </w:tcPr>
          <w:p>
            <w:pPr>
              <w:spacing w:before="0" w:after="0" w:line="276" w:lineRule="auto"/>
            </w:pPr>
            <w:r>
              <w:rPr>
                <w:b/>
              </w:rPr>
              <w:t xml:space="preserve">Uruguay</w:t>
            </w:r>
          </w:p>
        </w:tc>
        <w:tc>
          <w:tcPr>
            <w:tcW w:w="1900" w:type="dxa"/>
            <w:vAlign w:val="center"/>
            <w:tcMar>
              <w:top w:w="80" w:type="dxa"/>
              <w:bottom w:w="80" w:type="dxa"/>
              <w:left w:w="110" w:type="dxa"/>
              <w:right w:w="110" w:type="dxa"/>
            </w:tcMar>
          </w:tcPr>
          <w:p>
            <w:pPr>
              <w:spacing w:before="0" w:after="0" w:line="276" w:lineRule="auto"/>
            </w:pPr>
            <w:r>
              <w:rPr>
                <w:b/>
                <w:color w:val="1B5E20"/>
              </w:rPr>
              <w:t xml:space="preserve">Mercado de entrada</w:t>
            </w:r>
          </w:p>
        </w:tc>
        <w:tc>
          <w:tcPr>
            <w:tcW w:w="5000" w:type="dxa"/>
            <w:vAlign w:val="center"/>
            <w:tcMar>
              <w:top w:w="80" w:type="dxa"/>
              <w:bottom w:w="80" w:type="dxa"/>
              <w:left w:w="110" w:type="dxa"/>
              <w:right w:w="110" w:type="dxa"/>
            </w:tcMar>
          </w:tcPr>
          <w:p>
            <w:pPr>
              <w:spacing w:before="0" w:after="0" w:line="276" w:lineRule="auto"/>
            </w:pPr>
            <w:r>
              <w:t xml:space="preserve">Menor distancia CAGE (6 de 20) y el marco comercial más sólido: ACE 35 con desgravación completa más el TLC bilateral ACE 73. Mercado compacto y concentrado en Montevideo, donde un solo distribuidor cubre casi todo el país, de modo que el error resulta barato. Su debilidad —el tamaño— es irrelevante en una fase de aprendizaje.</w:t>
            </w:r>
          </w:p>
        </w:tc>
      </w:tr>
      <w:tr>
        <w:trPr>
          <w:cantSplit/>
        </w:trPr>
        <w:tc>
          <w:tcPr>
            <w:tcW w:w="62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2.º</w:t>
            </w:r>
          </w:p>
        </w:tc>
        <w:tc>
          <w:tcPr>
            <w:tcW w:w="1550" w:type="dxa"/>
            <w:shd w:val="clear" w:color="auto" w:fill="F3F6F3"/>
            <w:vAlign w:val="center"/>
            <w:tcMar>
              <w:top w:w="80" w:type="dxa"/>
              <w:bottom w:w="80" w:type="dxa"/>
              <w:left w:w="110" w:type="dxa"/>
              <w:right w:w="110" w:type="dxa"/>
            </w:tcMar>
          </w:tcPr>
          <w:p>
            <w:pPr>
              <w:spacing w:before="0" w:after="0" w:line="276" w:lineRule="auto"/>
            </w:pPr>
            <w:r>
              <w:rPr>
                <w:b/>
              </w:rPr>
              <w:t xml:space="preserve">Colombia</w:t>
            </w:r>
          </w:p>
        </w:tc>
        <w:tc>
          <w:tcPr>
            <w:tcW w:w="1900" w:type="dxa"/>
            <w:shd w:val="clear" w:color="auto" w:fill="F3F6F3"/>
            <w:vAlign w:val="center"/>
            <w:tcMar>
              <w:top w:w="80" w:type="dxa"/>
              <w:bottom w:w="80" w:type="dxa"/>
              <w:left w:w="110" w:type="dxa"/>
              <w:right w:w="110" w:type="dxa"/>
            </w:tcMar>
          </w:tcPr>
          <w:p>
            <w:pPr>
              <w:spacing w:before="0" w:after="0" w:line="276" w:lineRule="auto"/>
            </w:pPr>
            <w:r>
              <w:rPr>
                <w:b/>
              </w:rPr>
              <w:t xml:space="preserve">Mercado de escala</w:t>
            </w:r>
          </w:p>
        </w:tc>
        <w:tc>
          <w:tcPr>
            <w:tcW w:w="5000" w:type="dxa"/>
            <w:shd w:val="clear" w:color="auto" w:fill="F3F6F3"/>
            <w:vAlign w:val="center"/>
            <w:tcMar>
              <w:top w:w="80" w:type="dxa"/>
              <w:bottom w:w="80" w:type="dxa"/>
              <w:left w:w="110" w:type="dxa"/>
              <w:right w:w="110" w:type="dxa"/>
            </w:tcMar>
          </w:tcPr>
          <w:p>
            <w:pPr>
              <w:spacing w:before="0" w:after="0" w:line="276" w:lineRule="auto"/>
            </w:pPr>
            <w:r>
              <w:t xml:space="preserve">El más consistente: segundo en ambos modelos (Papadopoulos 69, CAGE 10). Alianza del Pacífico con reglas de origen comunes, clase media urbana amplia y categoría menos saturada que en Estados Unidos. Es donde el volumen se vuelve sostenible.</w:t>
            </w:r>
          </w:p>
        </w:tc>
      </w:tr>
      <w:tr>
        <w:trPr>
          <w:cantSplit/>
        </w:trPr>
        <w:tc>
          <w:tcPr>
            <w:tcW w:w="620" w:type="dxa"/>
            <w:vAlign w:val="center"/>
            <w:tcMar>
              <w:top w:w="80" w:type="dxa"/>
              <w:bottom w:w="80" w:type="dxa"/>
              <w:left w:w="110" w:type="dxa"/>
              <w:right w:w="110" w:type="dxa"/>
            </w:tcMar>
          </w:tcPr>
          <w:p>
            <w:pPr>
              <w:spacing w:before="0" w:after="0" w:line="276" w:lineRule="auto"/>
              <w:jc w:val="center"/>
            </w:pPr>
            <w:r>
              <w:rPr>
                <w:b/>
              </w:rPr>
              <w:t xml:space="preserve">3.º</w:t>
            </w:r>
          </w:p>
        </w:tc>
        <w:tc>
          <w:tcPr>
            <w:tcW w:w="1550" w:type="dxa"/>
            <w:vAlign w:val="center"/>
            <w:tcMar>
              <w:top w:w="80" w:type="dxa"/>
              <w:bottom w:w="80" w:type="dxa"/>
              <w:left w:w="110" w:type="dxa"/>
              <w:right w:w="110" w:type="dxa"/>
            </w:tcMar>
          </w:tcPr>
          <w:p>
            <w:pPr>
              <w:spacing w:before="0" w:after="0" w:line="276" w:lineRule="auto"/>
            </w:pPr>
            <w:r>
              <w:rPr>
                <w:b/>
              </w:rPr>
              <w:t xml:space="preserve">Estados Unidos</w:t>
            </w:r>
          </w:p>
        </w:tc>
        <w:tc>
          <w:tcPr>
            <w:tcW w:w="1900" w:type="dxa"/>
            <w:vAlign w:val="center"/>
            <w:tcMar>
              <w:top w:w="80" w:type="dxa"/>
              <w:bottom w:w="80" w:type="dxa"/>
              <w:left w:w="110" w:type="dxa"/>
              <w:right w:w="110" w:type="dxa"/>
            </w:tcMar>
          </w:tcPr>
          <w:p>
            <w:pPr>
              <w:spacing w:before="0" w:after="0" w:line="276" w:lineRule="auto"/>
            </w:pPr>
            <w:r>
              <w:rPr>
                <w:b/>
              </w:rPr>
              <w:t xml:space="preserve">Mercado de valor, condicionado</w:t>
            </w:r>
          </w:p>
        </w:tc>
        <w:tc>
          <w:tcPr>
            <w:tcW w:w="5000" w:type="dxa"/>
            <w:vAlign w:val="center"/>
            <w:tcMar>
              <w:top w:w="80" w:type="dxa"/>
              <w:bottom w:w="80" w:type="dxa"/>
              <w:left w:w="110" w:type="dxa"/>
              <w:right w:w="110" w:type="dxa"/>
            </w:tcMar>
          </w:tcPr>
          <w:p>
            <w:pPr>
              <w:spacing w:before="0" w:after="0" w:line="276" w:lineRule="auto"/>
            </w:pPr>
            <w:r>
              <w:t xml:space="preserve">Máximo atractivo (75) y máxima distancia (15). La categoría ya está instalada y el poder de compra admite precio premium. </w:t>
            </w:r>
            <w:r>
              <w:rPr>
                <w:b/>
              </w:rPr>
              <w:t xml:space="preserve">Su viabilidad depende de una verificación pendiente: </w:t>
            </w:r>
            <w:r>
              <w:t xml:space="preserve">si la partida 2202.99 cae en el 40 % afectado por la sobretasa del 12,5 %, el margen de un producto líquido y pesado se vuelve muy difícil de sostener. Corresponde abordarlo en tercera fase, con producto y argumento ya probados.</w:t>
            </w:r>
          </w:p>
        </w:tc>
      </w:tr>
      <w:tr>
        <w:trPr>
          <w:cantSplit/>
        </w:trPr>
        <w:tc>
          <w:tcPr>
            <w:tcW w:w="62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4.º</w:t>
            </w:r>
          </w:p>
        </w:tc>
        <w:tc>
          <w:tcPr>
            <w:tcW w:w="1550" w:type="dxa"/>
            <w:shd w:val="clear" w:color="auto" w:fill="F3F6F3"/>
            <w:vAlign w:val="center"/>
            <w:tcMar>
              <w:top w:w="80" w:type="dxa"/>
              <w:bottom w:w="80" w:type="dxa"/>
              <w:left w:w="110" w:type="dxa"/>
              <w:right w:w="110" w:type="dxa"/>
            </w:tcMar>
          </w:tcPr>
          <w:p>
            <w:pPr>
              <w:spacing w:before="0" w:after="0" w:line="276" w:lineRule="auto"/>
            </w:pPr>
            <w:r>
              <w:rPr>
                <w:b/>
              </w:rPr>
              <w:t xml:space="preserve">Paraguay</w:t>
            </w:r>
          </w:p>
        </w:tc>
        <w:tc>
          <w:tcPr>
            <w:tcW w:w="1900" w:type="dxa"/>
            <w:shd w:val="clear" w:color="auto" w:fill="F3F6F3"/>
            <w:vAlign w:val="center"/>
            <w:tcMar>
              <w:top w:w="80" w:type="dxa"/>
              <w:bottom w:w="80" w:type="dxa"/>
              <w:left w:w="110" w:type="dxa"/>
              <w:right w:w="110" w:type="dxa"/>
            </w:tcMar>
          </w:tcPr>
          <w:p>
            <w:pPr>
              <w:spacing w:before="0" w:after="0" w:line="276" w:lineRule="auto"/>
            </w:pPr>
            <w:r>
              <w:rPr>
                <w:b/>
                <w:color w:val="B3261E"/>
              </w:rPr>
              <w:t xml:space="preserve">Descartado como prioritario</w:t>
            </w:r>
          </w:p>
        </w:tc>
        <w:tc>
          <w:tcPr>
            <w:tcW w:w="5000" w:type="dxa"/>
            <w:shd w:val="clear" w:color="auto" w:fill="F3F6F3"/>
            <w:vAlign w:val="center"/>
            <w:tcMar>
              <w:top w:w="80" w:type="dxa"/>
              <w:bottom w:w="80" w:type="dxa"/>
              <w:left w:w="110" w:type="dxa"/>
              <w:right w:w="110" w:type="dxa"/>
            </w:tcMar>
          </w:tcPr>
          <w:p>
            <w:pPr>
              <w:spacing w:before="0" w:after="0" w:line="276" w:lineRule="auto"/>
            </w:pPr>
            <w:r>
              <w:t xml:space="preserve">Peor posición combinada (suma 7) y último en atractivo comercial (52). Sin salida al mar, con doble cruce de frontera, mercado pequeño y menor poder de compra en el segmento premium. Se documenta como descartado: descartar con fundamento también constituye un resultado de este punto.</w:t>
            </w:r>
          </w:p>
        </w:tc>
      </w:tr>
    </w:tbl>
    <w:p>
      <w:pPr>
        <w:spacing w:before="0" w:after="120" w:line="276" w:lineRule="auto"/>
      </w:pPr>
      <w:r>
        <w:t xml:space="preserve"/>
      </w:r>
    </w:p>
    <w:p>
      <w:pPr>
        <w:spacing w:before="0" w:after="200" w:line="276" w:lineRule="auto"/>
        <w:jc w:val="left"/>
      </w:pPr>
      <w:r>
        <w:rPr>
          <w:b/>
          <w:sz w:val="18"/>
        </w:rPr>
        <w:t xml:space="preserve">Tabla 8. </w:t>
      </w:r>
      <w:r>
        <w:rPr>
          <w:sz w:val="18"/>
        </w:rPr>
        <w:t xml:space="preserve">Decisión de producto-mercado y rol asignado a cada destino.</w:t>
      </w:r>
    </w:p>
    <w:p>
      <w:pPr>
        <w:pStyle w:val="Heading3"/>
        <w:keepNext/>
        <w:spacing w:before="240" w:after="120" w:line="276" w:lineRule="auto"/>
      </w:pPr>
      <w:r>
        <w:t xml:space="preserve">Alcance del desarrollo posterior</w:t>
      </w:r>
    </w:p>
    <w:p>
      <w:pPr>
        <w:spacing w:before="0" w:after="120" w:line="276" w:lineRule="auto"/>
        <w:jc w:val="both"/>
      </w:pPr>
      <w:r>
        <w:t xml:space="preserve">La asignatura requiere desarrollar un mínimo de tres mercados. La matriz entrega ese resultado: </w:t>
      </w:r>
      <w:r>
        <w:rPr>
          <w:b/>
        </w:rPr>
        <w:t xml:space="preserve">Uruguay, Colombia y Estados Unidos</w:t>
      </w:r>
      <w:r>
        <w:t xml:space="preserve"> se desarrollan en los puntos 2 y 3, y </w:t>
      </w:r>
      <w:r>
        <w:rPr>
          <w:b/>
        </w:rPr>
        <w:t xml:space="preserve">Paraguay queda documentado como descarte argumentado</w:t>
      </w:r>
      <w:r>
        <w:t xml:space="preserve"> en este apartado.</w:t>
      </w:r>
    </w:p>
    <w:p>
      <w:pPr>
        <w:spacing w:before="0" w:after="120" w:line="276" w:lineRule="auto"/>
        <w:jc w:val="both"/>
      </w:pPr>
      <w:r>
        <w:t xml:space="preserve">Esta decisión resuelve además una restricción práctica: con un cuerpo principal de 30 a 40 páginas, desarrollar los puntos 2 y 3 para cuatro mercados no cabe sin sacrificar profundidad. Tres mercados desarrollados y uno descartado con fundamento constituye un trabajo más sólido que cuatro tratados superficialmente.</w:t>
      </w:r>
    </w:p>
    <w:p>
      <w:pPr>
        <w:pStyle w:val="Heading3"/>
        <w:keepNext/>
        <w:spacing w:before="240" w:after="120" w:line="276" w:lineRule="auto"/>
      </w:pPr>
      <w:r>
        <w:t xml:space="preserve">Secuencia de internacionalización propuesta</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1200"/>
        <w:gridCol w:w="2000"/>
        <w:gridCol w:w="5870"/>
      </w:tblGrid>
      <w:tr>
        <w:trPr>
          <w:tblHeader/>
          <w:cantSplit/>
        </w:trPr>
        <w:tc>
          <w:tcPr>
            <w:tcW w:w="12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Fase</w:t>
            </w:r>
          </w:p>
        </w:tc>
        <w:tc>
          <w:tcPr>
            <w:tcW w:w="20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Mercado</w:t>
            </w:r>
          </w:p>
        </w:tc>
        <w:tc>
          <w:tcPr>
            <w:tcW w:w="58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Objetivo de la fase</w:t>
            </w:r>
          </w:p>
        </w:tc>
      </w:tr>
      <w:tr>
        <w:trPr>
          <w:cantSplit/>
        </w:trPr>
        <w:tc>
          <w:tcPr>
            <w:tcW w:w="1200" w:type="dxa"/>
            <w:vAlign w:val="center"/>
            <w:tcMar>
              <w:top w:w="80" w:type="dxa"/>
              <w:bottom w:w="80" w:type="dxa"/>
              <w:left w:w="110" w:type="dxa"/>
              <w:right w:w="110" w:type="dxa"/>
            </w:tcMar>
          </w:tcPr>
          <w:p>
            <w:pPr>
              <w:spacing w:before="0" w:after="0" w:line="276" w:lineRule="auto"/>
              <w:jc w:val="center"/>
            </w:pPr>
            <w:r>
              <w:rPr>
                <w:b/>
              </w:rPr>
              <w:t xml:space="preserve">Fase 1</w:t>
            </w:r>
          </w:p>
        </w:tc>
        <w:tc>
          <w:tcPr>
            <w:tcW w:w="2000" w:type="dxa"/>
            <w:vAlign w:val="center"/>
            <w:tcMar>
              <w:top w:w="80" w:type="dxa"/>
              <w:bottom w:w="80" w:type="dxa"/>
              <w:left w:w="110" w:type="dxa"/>
              <w:right w:w="110" w:type="dxa"/>
            </w:tcMar>
          </w:tcPr>
          <w:p>
            <w:pPr>
              <w:spacing w:before="0" w:after="0" w:line="276" w:lineRule="auto"/>
            </w:pPr>
            <w:r>
              <w:rPr>
                <w:b/>
              </w:rPr>
              <w:t xml:space="preserve">Uruguay</w:t>
            </w:r>
          </w:p>
        </w:tc>
        <w:tc>
          <w:tcPr>
            <w:tcW w:w="5870" w:type="dxa"/>
            <w:vAlign w:val="center"/>
            <w:tcMar>
              <w:top w:w="80" w:type="dxa"/>
              <w:bottom w:w="80" w:type="dxa"/>
              <w:left w:w="110" w:type="dxa"/>
              <w:right w:w="110" w:type="dxa"/>
            </w:tcMar>
          </w:tcPr>
          <w:p>
            <w:pPr>
              <w:spacing w:before="0" w:after="0" w:line="276" w:lineRule="auto"/>
            </w:pPr>
            <w:r>
              <w:t xml:space="preserve">Aprender a exportar en un mercado donde equivocarse resulta barato</w:t>
            </w:r>
          </w:p>
        </w:tc>
      </w:tr>
      <w:tr>
        <w:trPr>
          <w:cantSplit/>
        </w:trPr>
        <w:tc>
          <w:tcPr>
            <w:tcW w:w="120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Fase 2</w:t>
            </w:r>
          </w:p>
        </w:tc>
        <w:tc>
          <w:tcPr>
            <w:tcW w:w="2000" w:type="dxa"/>
            <w:shd w:val="clear" w:color="auto" w:fill="F3F6F3"/>
            <w:vAlign w:val="center"/>
            <w:tcMar>
              <w:top w:w="80" w:type="dxa"/>
              <w:bottom w:w="80" w:type="dxa"/>
              <w:left w:w="110" w:type="dxa"/>
              <w:right w:w="110" w:type="dxa"/>
            </w:tcMar>
          </w:tcPr>
          <w:p>
            <w:pPr>
              <w:spacing w:before="0" w:after="0" w:line="276" w:lineRule="auto"/>
            </w:pPr>
            <w:r>
              <w:rPr>
                <w:b/>
              </w:rPr>
              <w:t xml:space="preserve">Colombia</w:t>
            </w:r>
          </w:p>
        </w:tc>
        <w:tc>
          <w:tcPr>
            <w:tcW w:w="5870" w:type="dxa"/>
            <w:shd w:val="clear" w:color="auto" w:fill="F3F6F3"/>
            <w:vAlign w:val="center"/>
            <w:tcMar>
              <w:top w:w="80" w:type="dxa"/>
              <w:bottom w:w="80" w:type="dxa"/>
              <w:left w:w="110" w:type="dxa"/>
              <w:right w:w="110" w:type="dxa"/>
            </w:tcMar>
          </w:tcPr>
          <w:p>
            <w:pPr>
              <w:spacing w:before="0" w:after="0" w:line="276" w:lineRule="auto"/>
            </w:pPr>
            <w:r>
              <w:t xml:space="preserve">Escalar volumen aprovechando el acceso preferencial</w:t>
            </w:r>
          </w:p>
        </w:tc>
      </w:tr>
      <w:tr>
        <w:trPr>
          <w:cantSplit/>
        </w:trPr>
        <w:tc>
          <w:tcPr>
            <w:tcW w:w="1200" w:type="dxa"/>
            <w:vAlign w:val="center"/>
            <w:tcMar>
              <w:top w:w="80" w:type="dxa"/>
              <w:bottom w:w="80" w:type="dxa"/>
              <w:left w:w="110" w:type="dxa"/>
              <w:right w:w="110" w:type="dxa"/>
            </w:tcMar>
          </w:tcPr>
          <w:p>
            <w:pPr>
              <w:spacing w:before="0" w:after="0" w:line="276" w:lineRule="auto"/>
              <w:jc w:val="center"/>
            </w:pPr>
            <w:r>
              <w:rPr>
                <w:b/>
              </w:rPr>
              <w:t xml:space="preserve">Fase 3</w:t>
            </w:r>
          </w:p>
        </w:tc>
        <w:tc>
          <w:tcPr>
            <w:tcW w:w="2000" w:type="dxa"/>
            <w:vAlign w:val="center"/>
            <w:tcMar>
              <w:top w:w="80" w:type="dxa"/>
              <w:bottom w:w="80" w:type="dxa"/>
              <w:left w:w="110" w:type="dxa"/>
              <w:right w:w="110" w:type="dxa"/>
            </w:tcMar>
          </w:tcPr>
          <w:p>
            <w:pPr>
              <w:spacing w:before="0" w:after="0" w:line="276" w:lineRule="auto"/>
            </w:pPr>
            <w:r>
              <w:rPr>
                <w:b/>
              </w:rPr>
              <w:t xml:space="preserve">Estados Unidos</w:t>
            </w:r>
          </w:p>
        </w:tc>
        <w:tc>
          <w:tcPr>
            <w:tcW w:w="5870" w:type="dxa"/>
            <w:vAlign w:val="center"/>
            <w:tcMar>
              <w:top w:w="80" w:type="dxa"/>
              <w:bottom w:w="80" w:type="dxa"/>
              <w:left w:w="110" w:type="dxa"/>
              <w:right w:w="110" w:type="dxa"/>
            </w:tcMar>
          </w:tcPr>
          <w:p>
            <w:pPr>
              <w:spacing w:before="0" w:after="0" w:line="276" w:lineRule="auto"/>
            </w:pPr>
            <w:r>
              <w:t xml:space="preserve">Capturar valor, condicionado al resultado de la verificación arancelaria</w:t>
            </w:r>
          </w:p>
        </w:tc>
      </w:tr>
    </w:tbl>
    <w:p>
      <w:pPr>
        <w:spacing w:before="0" w:after="120" w:line="276" w:lineRule="auto"/>
      </w:pPr>
      <w:r>
        <w:t xml:space="preserve"/>
      </w:r>
    </w:p>
    <w:p>
      <w:pPr>
        <w:spacing w:before="0" w:after="200" w:line="276" w:lineRule="auto"/>
        <w:jc w:val="left"/>
      </w:pPr>
      <w:r>
        <w:rPr>
          <w:b/>
          <w:sz w:val="18"/>
        </w:rPr>
        <w:t xml:space="preserve">Tabla 9. </w:t>
      </w:r>
      <w:r>
        <w:rPr>
          <w:sz w:val="18"/>
        </w:rPr>
        <w:t xml:space="preserve">Secuencia de entrada por fases.</w:t>
      </w:r>
    </w:p>
    <w:p>
      <w:pPr>
        <w:pStyle w:val="Heading3"/>
        <w:keepNext/>
        <w:spacing w:before="240" w:after="120" w:line="276" w:lineRule="auto"/>
      </w:pPr>
      <w:r>
        <w:t xml:space="preserve">Justificación de la inversión del orden</w:t>
      </w:r>
    </w:p>
    <w:p>
      <w:pPr>
        <w:spacing w:before="0" w:after="120" w:line="276" w:lineRule="auto"/>
        <w:jc w:val="both"/>
      </w:pPr>
      <w:r>
        <w:t xml:space="preserve">El orden propuesto </w:t>
      </w:r>
      <w:r>
        <w:rPr>
          <w:b/>
        </w:rPr>
        <w:t xml:space="preserve">no sigue el atractivo de mercado</w:t>
      </w:r>
      <w:r>
        <w:t xml:space="preserve">. Estados Unidos lidera el índice Papadopoulos y se aborda al final; Uruguay es tercero en atractivo y se aborda primero. Esta inversión requiere justificación explícita.</w:t>
      </w:r>
    </w:p>
    <w:p>
      <w:pPr>
        <w:spacing w:before="0" w:after="120" w:line="276" w:lineRule="auto"/>
        <w:jc w:val="both"/>
      </w:pPr>
      <w:r>
        <w:t xml:space="preserve">El fundamento es que Pinda </w:t>
      </w:r>
      <w:r>
        <w:rPr>
          <w:b/>
        </w:rPr>
        <w:t xml:space="preserve">no exporta en la actualidad</w:t>
      </w:r>
      <w:r>
        <w:t xml:space="preserve">: su etapa real de internacionalización es la exportación pasiva. Para una empresa en esa etapa, la primera decisión no debe maximizar el tamaño del mercado sino </w:t>
      </w:r>
      <w:r>
        <w:rPr>
          <w:b/>
        </w:rPr>
        <w:t xml:space="preserve">minimizar el costo de equivocarse</w:t>
      </w:r>
      <w:r>
        <w:t xml:space="preserve">. Un distribuidor mal elegido en Montevideo constituye un problema acotado y reversible. El mismo error en Estados Unidos, con flete transoceánico, sobretasa arancelaria y un producto fermentado de vida útil limitada, puede comprometer el proyecto exportador completo.</w:t>
      </w:r>
    </w:p>
    <w:p>
      <w:r>
        <w:br w:type="page"/>
      </w:r>
    </w:p>
    <w:p>
      <w:pPr>
        <w:pStyle w:val="Heading1"/>
        <w:keepNext/>
        <w:spacing w:before="0" w:after="120" w:line="276" w:lineRule="auto"/>
      </w:pPr>
      <w:r>
        <w:t xml:space="preserve">Verificaciones pendientes antes de la entrega</w:t>
      </w:r>
    </w:p>
    <w:p>
      <w:pPr>
        <w:spacing w:before="0" w:after="120" w:line="276" w:lineRule="auto"/>
        <w:jc w:val="both"/>
      </w:pPr>
      <w:r>
        <w:t xml:space="preserve">Los siguientes datos aparecen marcados [!] a lo largo del documento y deben confirmarse con fuente y fecha antes de la entrega final.</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520"/>
        <w:gridCol w:w="2800"/>
        <w:gridCol w:w="3050"/>
        <w:gridCol w:w="2700"/>
      </w:tblGrid>
      <w:tr>
        <w:trPr>
          <w:tblHeader/>
          <w:cantSplit/>
        </w:trPr>
        <w:tc>
          <w:tcPr>
            <w:tcW w:w="52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N.º</w:t>
            </w:r>
          </w:p>
        </w:tc>
        <w:tc>
          <w:tcPr>
            <w:tcW w:w="28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Dato pendiente</w:t>
            </w:r>
          </w:p>
        </w:tc>
        <w:tc>
          <w:tcPr>
            <w:tcW w:w="30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Dónde obtenerlo</w:t>
            </w:r>
          </w:p>
        </w:tc>
        <w:tc>
          <w:tcPr>
            <w:tcW w:w="27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Impacto</w:t>
            </w:r>
          </w:p>
        </w:tc>
      </w:tr>
      <w:tr>
        <w:trPr>
          <w:cantSplit/>
        </w:trPr>
        <w:tc>
          <w:tcPr>
            <w:tcW w:w="520" w:type="dxa"/>
            <w:vAlign w:val="center"/>
            <w:tcMar>
              <w:top w:w="80" w:type="dxa"/>
              <w:bottom w:w="80" w:type="dxa"/>
              <w:left w:w="110" w:type="dxa"/>
              <w:right w:w="110" w:type="dxa"/>
            </w:tcMar>
          </w:tcPr>
          <w:p>
            <w:pPr>
              <w:spacing w:before="0" w:after="0" w:line="276" w:lineRule="auto"/>
              <w:jc w:val="center"/>
            </w:pPr>
            <w:r>
              <w:t xml:space="preserve">1</w:t>
            </w:r>
          </w:p>
        </w:tc>
        <w:tc>
          <w:tcPr>
            <w:tcW w:w="2800" w:type="dxa"/>
            <w:vAlign w:val="center"/>
            <w:tcMar>
              <w:top w:w="80" w:type="dxa"/>
              <w:bottom w:w="80" w:type="dxa"/>
              <w:left w:w="110" w:type="dxa"/>
              <w:right w:w="110" w:type="dxa"/>
            </w:tcMar>
          </w:tcPr>
          <w:p>
            <w:pPr>
              <w:spacing w:before="0" w:after="0" w:line="276" w:lineRule="auto"/>
            </w:pPr>
            <w:r>
              <w:rPr>
                <w:b/>
              </w:rPr>
              <w:t xml:space="preserve">Si la partida 2202.99 está afectada por la sobretasa estadounidense del 12,5 %</w:t>
            </w:r>
          </w:p>
        </w:tc>
        <w:tc>
          <w:tcPr>
            <w:tcW w:w="3050" w:type="dxa"/>
            <w:vAlign w:val="center"/>
            <w:tcMar>
              <w:top w:w="80" w:type="dxa"/>
              <w:bottom w:w="80" w:type="dxa"/>
              <w:left w:w="110" w:type="dxa"/>
              <w:right w:w="110" w:type="dxa"/>
            </w:tcMar>
          </w:tcPr>
          <w:p>
            <w:pPr>
              <w:spacing w:before="0" w:after="0" w:line="276" w:lineRule="auto"/>
            </w:pPr>
            <w:r>
              <w:t xml:space="preserve">SUBREI, USTR, listado de productos afectados</w:t>
            </w:r>
          </w:p>
        </w:tc>
        <w:tc>
          <w:tcPr>
            <w:tcW w:w="2700" w:type="dxa"/>
            <w:vAlign w:val="center"/>
            <w:tcMar>
              <w:top w:w="80" w:type="dxa"/>
              <w:bottom w:w="80" w:type="dxa"/>
              <w:left w:w="110" w:type="dxa"/>
              <w:right w:w="110" w:type="dxa"/>
            </w:tcMar>
          </w:tcPr>
          <w:p>
            <w:pPr>
              <w:spacing w:before="0" w:after="0" w:line="276" w:lineRule="auto"/>
            </w:pPr>
            <w:r>
              <w:rPr>
                <w:b/>
                <w:color w:val="B3261E"/>
              </w:rPr>
              <w:t xml:space="preserve">Crítico: define la viabilidad de EE.UU.</w:t>
            </w:r>
          </w:p>
        </w:tc>
      </w:tr>
      <w:tr>
        <w:trPr>
          <w:cantSplit/>
        </w:trPr>
        <w:tc>
          <w:tcPr>
            <w:tcW w:w="52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2800" w:type="dxa"/>
            <w:shd w:val="clear" w:color="auto" w:fill="F3F6F3"/>
            <w:vAlign w:val="center"/>
            <w:tcMar>
              <w:top w:w="80" w:type="dxa"/>
              <w:bottom w:w="80" w:type="dxa"/>
              <w:left w:w="110" w:type="dxa"/>
              <w:right w:w="110" w:type="dxa"/>
            </w:tcMar>
          </w:tcPr>
          <w:p>
            <w:pPr>
              <w:spacing w:before="0" w:after="0" w:line="276" w:lineRule="auto"/>
            </w:pPr>
            <w:r>
              <w:t xml:space="preserve">Código SACH completo de Chile para la kombucha</w:t>
            </w:r>
          </w:p>
        </w:tc>
        <w:tc>
          <w:tcPr>
            <w:tcW w:w="3050" w:type="dxa"/>
            <w:shd w:val="clear" w:color="auto" w:fill="F3F6F3"/>
            <w:vAlign w:val="center"/>
            <w:tcMar>
              <w:top w:w="80" w:type="dxa"/>
              <w:bottom w:w="80" w:type="dxa"/>
              <w:left w:w="110" w:type="dxa"/>
              <w:right w:w="110" w:type="dxa"/>
            </w:tcMar>
          </w:tcPr>
          <w:p>
            <w:pPr>
              <w:spacing w:before="0" w:after="0" w:line="276" w:lineRule="auto"/>
            </w:pPr>
            <w:r>
              <w:t xml:space="preserve">Arancel Aduanero vigente, Servicio Nacional de Aduanas</w:t>
            </w:r>
          </w:p>
        </w:tc>
        <w:tc>
          <w:tcPr>
            <w:tcW w:w="2700" w:type="dxa"/>
            <w:shd w:val="clear" w:color="auto" w:fill="F3F6F3"/>
            <w:vAlign w:val="center"/>
            <w:tcMar>
              <w:top w:w="80" w:type="dxa"/>
              <w:bottom w:w="80" w:type="dxa"/>
              <w:left w:w="110" w:type="dxa"/>
              <w:right w:w="110" w:type="dxa"/>
            </w:tcMar>
          </w:tcPr>
          <w:p>
            <w:pPr>
              <w:spacing w:before="0" w:after="0" w:line="276" w:lineRule="auto"/>
            </w:pPr>
            <w:r>
              <w:rPr>
                <w:b/>
              </w:rPr>
              <w:t xml:space="preserve">Alto: base del punto 3.a</w:t>
            </w:r>
          </w:p>
        </w:tc>
      </w:tr>
      <w:tr>
        <w:trPr>
          <w:cantSplit/>
        </w:trPr>
        <w:tc>
          <w:tcPr>
            <w:tcW w:w="520" w:type="dxa"/>
            <w:vAlign w:val="center"/>
            <w:tcMar>
              <w:top w:w="80" w:type="dxa"/>
              <w:bottom w:w="80" w:type="dxa"/>
              <w:left w:w="110" w:type="dxa"/>
              <w:right w:w="110" w:type="dxa"/>
            </w:tcMar>
          </w:tcPr>
          <w:p>
            <w:pPr>
              <w:spacing w:before="0" w:after="0" w:line="276" w:lineRule="auto"/>
              <w:jc w:val="center"/>
            </w:pPr>
            <w:r>
              <w:t xml:space="preserve">3</w:t>
            </w:r>
          </w:p>
        </w:tc>
        <w:tc>
          <w:tcPr>
            <w:tcW w:w="2800" w:type="dxa"/>
            <w:vAlign w:val="center"/>
            <w:tcMar>
              <w:top w:w="80" w:type="dxa"/>
              <w:bottom w:w="80" w:type="dxa"/>
              <w:left w:w="110" w:type="dxa"/>
              <w:right w:w="110" w:type="dxa"/>
            </w:tcMar>
          </w:tcPr>
          <w:p>
            <w:pPr>
              <w:spacing w:before="0" w:after="0" w:line="276" w:lineRule="auto"/>
            </w:pPr>
            <w:r>
              <w:t xml:space="preserve">Código local de 8 o más dígitos en Uruguay, Colombia y EE.UU.</w:t>
            </w:r>
          </w:p>
        </w:tc>
        <w:tc>
          <w:tcPr>
            <w:tcW w:w="3050" w:type="dxa"/>
            <w:vAlign w:val="center"/>
            <w:tcMar>
              <w:top w:w="80" w:type="dxa"/>
              <w:bottom w:w="80" w:type="dxa"/>
              <w:left w:w="110" w:type="dxa"/>
              <w:right w:w="110" w:type="dxa"/>
            </w:tcMar>
          </w:tcPr>
          <w:p>
            <w:pPr>
              <w:spacing w:before="0" w:after="0" w:line="276" w:lineRule="auto"/>
            </w:pPr>
            <w:r>
              <w:t xml:space="preserve">Arancel de aduanas de cada país de destino</w:t>
            </w:r>
          </w:p>
        </w:tc>
        <w:tc>
          <w:tcPr>
            <w:tcW w:w="2700" w:type="dxa"/>
            <w:vAlign w:val="center"/>
            <w:tcMar>
              <w:top w:w="80" w:type="dxa"/>
              <w:bottom w:w="80" w:type="dxa"/>
              <w:left w:w="110" w:type="dxa"/>
              <w:right w:w="110" w:type="dxa"/>
            </w:tcMar>
          </w:tcPr>
          <w:p>
            <w:pPr>
              <w:spacing w:before="0" w:after="0" w:line="276" w:lineRule="auto"/>
            </w:pPr>
            <w:r>
              <w:t xml:space="preserve">Alto</w:t>
            </w:r>
          </w:p>
        </w:tc>
      </w:tr>
      <w:tr>
        <w:trPr>
          <w:cantSplit/>
        </w:trPr>
        <w:tc>
          <w:tcPr>
            <w:tcW w:w="52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2800" w:type="dxa"/>
            <w:shd w:val="clear" w:color="auto" w:fill="F3F6F3"/>
            <w:vAlign w:val="center"/>
            <w:tcMar>
              <w:top w:w="80" w:type="dxa"/>
              <w:bottom w:w="80" w:type="dxa"/>
              <w:left w:w="110" w:type="dxa"/>
              <w:right w:w="110" w:type="dxa"/>
            </w:tcMar>
          </w:tcPr>
          <w:p>
            <w:pPr>
              <w:spacing w:before="0" w:after="0" w:line="276" w:lineRule="auto"/>
            </w:pPr>
            <w:r>
              <w:t xml:space="preserve">Datos de importación de 2202.99 por país</w:t>
            </w:r>
          </w:p>
        </w:tc>
        <w:tc>
          <w:tcPr>
            <w:tcW w:w="3050" w:type="dxa"/>
            <w:shd w:val="clear" w:color="auto" w:fill="F3F6F3"/>
            <w:vAlign w:val="center"/>
            <w:tcMar>
              <w:top w:w="80" w:type="dxa"/>
              <w:bottom w:w="80" w:type="dxa"/>
              <w:left w:w="110" w:type="dxa"/>
              <w:right w:w="110" w:type="dxa"/>
            </w:tcMar>
          </w:tcPr>
          <w:p>
            <w:pPr>
              <w:spacing w:before="0" w:after="0" w:line="276" w:lineRule="auto"/>
            </w:pPr>
            <w:r>
              <w:t xml:space="preserve">Trade Map (ITC) o UN Comtrade</w:t>
            </w:r>
          </w:p>
        </w:tc>
        <w:tc>
          <w:tcPr>
            <w:tcW w:w="2700" w:type="dxa"/>
            <w:shd w:val="clear" w:color="auto" w:fill="F3F6F3"/>
            <w:vAlign w:val="center"/>
            <w:tcMar>
              <w:top w:w="80" w:type="dxa"/>
              <w:bottom w:w="80" w:type="dxa"/>
              <w:left w:w="110" w:type="dxa"/>
              <w:right w:w="110" w:type="dxa"/>
            </w:tcMar>
          </w:tcPr>
          <w:p>
            <w:pPr>
              <w:spacing w:before="0" w:after="0" w:line="276" w:lineRule="auto"/>
            </w:pPr>
            <w:r>
              <w:t xml:space="preserve">Alto: sustituye estimaciones</w:t>
            </w:r>
          </w:p>
        </w:tc>
      </w:tr>
      <w:tr>
        <w:trPr>
          <w:cantSplit/>
        </w:trPr>
        <w:tc>
          <w:tcPr>
            <w:tcW w:w="520" w:type="dxa"/>
            <w:vAlign w:val="center"/>
            <w:tcMar>
              <w:top w:w="80" w:type="dxa"/>
              <w:bottom w:w="80" w:type="dxa"/>
              <w:left w:w="110" w:type="dxa"/>
              <w:right w:w="110" w:type="dxa"/>
            </w:tcMar>
          </w:tcPr>
          <w:p>
            <w:pPr>
              <w:spacing w:before="0" w:after="0" w:line="276" w:lineRule="auto"/>
              <w:jc w:val="center"/>
            </w:pPr>
            <w:r>
              <w:t xml:space="preserve">5</w:t>
            </w:r>
          </w:p>
        </w:tc>
        <w:tc>
          <w:tcPr>
            <w:tcW w:w="2800" w:type="dxa"/>
            <w:vAlign w:val="center"/>
            <w:tcMar>
              <w:top w:w="80" w:type="dxa"/>
              <w:bottom w:w="80" w:type="dxa"/>
              <w:left w:w="110" w:type="dxa"/>
              <w:right w:w="110" w:type="dxa"/>
            </w:tcMar>
          </w:tcPr>
          <w:p>
            <w:pPr>
              <w:spacing w:before="0" w:after="0" w:line="276" w:lineRule="auto"/>
            </w:pPr>
            <w:r>
              <w:t xml:space="preserve">Capacidad productiva real de Pinda</w:t>
            </w:r>
          </w:p>
        </w:tc>
        <w:tc>
          <w:tcPr>
            <w:tcW w:w="3050" w:type="dxa"/>
            <w:vAlign w:val="center"/>
            <w:tcMar>
              <w:top w:w="80" w:type="dxa"/>
              <w:bottom w:w="80" w:type="dxa"/>
              <w:left w:w="110" w:type="dxa"/>
              <w:right w:w="110" w:type="dxa"/>
            </w:tcMar>
          </w:tcPr>
          <w:p>
            <w:pPr>
              <w:spacing w:before="0" w:after="0" w:line="276" w:lineRule="auto"/>
            </w:pPr>
            <w:r>
              <w:t xml:space="preserve">Información directa de la empresa</w:t>
            </w:r>
          </w:p>
        </w:tc>
        <w:tc>
          <w:tcPr>
            <w:tcW w:w="2700" w:type="dxa"/>
            <w:vAlign w:val="center"/>
            <w:tcMar>
              <w:top w:w="80" w:type="dxa"/>
              <w:bottom w:w="80" w:type="dxa"/>
              <w:left w:w="110" w:type="dxa"/>
              <w:right w:w="110" w:type="dxa"/>
            </w:tcMar>
          </w:tcPr>
          <w:p>
            <w:pPr>
              <w:spacing w:before="0" w:after="0" w:line="276" w:lineRule="auto"/>
            </w:pPr>
            <w:r>
              <w:rPr>
                <w:b/>
              </w:rPr>
              <w:t xml:space="preserve">Alto: sin este dato el plan no tiene techo</w:t>
            </w:r>
          </w:p>
        </w:tc>
      </w:tr>
      <w:tr>
        <w:trPr>
          <w:cantSplit/>
        </w:trPr>
        <w:tc>
          <w:tcPr>
            <w:tcW w:w="520" w:type="dxa"/>
            <w:shd w:val="clear" w:color="auto" w:fill="F3F6F3"/>
            <w:vAlign w:val="center"/>
            <w:tcMar>
              <w:top w:w="80" w:type="dxa"/>
              <w:bottom w:w="80" w:type="dxa"/>
              <w:left w:w="110" w:type="dxa"/>
              <w:right w:w="110" w:type="dxa"/>
            </w:tcMar>
          </w:tcPr>
          <w:p>
            <w:pPr>
              <w:spacing w:before="0" w:after="0" w:line="276" w:lineRule="auto"/>
              <w:jc w:val="center"/>
            </w:pPr>
            <w:r>
              <w:t xml:space="preserve">6</w:t>
            </w:r>
          </w:p>
        </w:tc>
        <w:tc>
          <w:tcPr>
            <w:tcW w:w="2800" w:type="dxa"/>
            <w:shd w:val="clear" w:color="auto" w:fill="F3F6F3"/>
            <w:vAlign w:val="center"/>
            <w:tcMar>
              <w:top w:w="80" w:type="dxa"/>
              <w:bottom w:w="80" w:type="dxa"/>
              <w:left w:w="110" w:type="dxa"/>
              <w:right w:w="110" w:type="dxa"/>
            </w:tcMar>
          </w:tcPr>
          <w:p>
            <w:pPr>
              <w:spacing w:before="0" w:after="0" w:line="276" w:lineRule="auto"/>
            </w:pPr>
            <w:r>
              <w:t xml:space="preserve">Tipos de cambio con fecha explícita</w:t>
            </w:r>
          </w:p>
        </w:tc>
        <w:tc>
          <w:tcPr>
            <w:tcW w:w="3050" w:type="dxa"/>
            <w:shd w:val="clear" w:color="auto" w:fill="F3F6F3"/>
            <w:vAlign w:val="center"/>
            <w:tcMar>
              <w:top w:w="80" w:type="dxa"/>
              <w:bottom w:w="80" w:type="dxa"/>
              <w:left w:w="110" w:type="dxa"/>
              <w:right w:w="110" w:type="dxa"/>
            </w:tcMar>
          </w:tcPr>
          <w:p>
            <w:pPr>
              <w:spacing w:before="0" w:after="0" w:line="276" w:lineRule="auto"/>
            </w:pPr>
            <w:r>
              <w:t xml:space="preserve">Banco Central de Chile</w:t>
            </w:r>
          </w:p>
        </w:tc>
        <w:tc>
          <w:tcPr>
            <w:tcW w:w="2700" w:type="dxa"/>
            <w:shd w:val="clear" w:color="auto" w:fill="F3F6F3"/>
            <w:vAlign w:val="center"/>
            <w:tcMar>
              <w:top w:w="80" w:type="dxa"/>
              <w:bottom w:w="80" w:type="dxa"/>
              <w:left w:w="110" w:type="dxa"/>
              <w:right w:w="110" w:type="dxa"/>
            </w:tcMar>
          </w:tcPr>
          <w:p>
            <w:pPr>
              <w:spacing w:before="0" w:after="0" w:line="276" w:lineRule="auto"/>
            </w:pPr>
            <w:r>
              <w:t xml:space="preserve">Medio</w:t>
            </w:r>
          </w:p>
        </w:tc>
      </w:tr>
      <w:tr>
        <w:trPr>
          <w:cantSplit/>
        </w:trPr>
        <w:tc>
          <w:tcPr>
            <w:tcW w:w="520" w:type="dxa"/>
            <w:vAlign w:val="center"/>
            <w:tcMar>
              <w:top w:w="80" w:type="dxa"/>
              <w:bottom w:w="80" w:type="dxa"/>
              <w:left w:w="110" w:type="dxa"/>
              <w:right w:w="110" w:type="dxa"/>
            </w:tcMar>
          </w:tcPr>
          <w:p>
            <w:pPr>
              <w:spacing w:before="0" w:after="0" w:line="276" w:lineRule="auto"/>
              <w:jc w:val="center"/>
            </w:pPr>
            <w:r>
              <w:t xml:space="preserve">7</w:t>
            </w:r>
          </w:p>
        </w:tc>
        <w:tc>
          <w:tcPr>
            <w:tcW w:w="2800" w:type="dxa"/>
            <w:vAlign w:val="center"/>
            <w:tcMar>
              <w:top w:w="80" w:type="dxa"/>
              <w:bottom w:w="80" w:type="dxa"/>
              <w:left w:w="110" w:type="dxa"/>
              <w:right w:w="110" w:type="dxa"/>
            </w:tcMar>
          </w:tcPr>
          <w:p>
            <w:pPr>
              <w:spacing w:before="0" w:after="0" w:line="276" w:lineRule="auto"/>
            </w:pPr>
            <w:r>
              <w:t xml:space="preserve">Serie actualizada de exportaciones de la Región de Los Ríos</w:t>
            </w:r>
          </w:p>
        </w:tc>
        <w:tc>
          <w:tcPr>
            <w:tcW w:w="3050" w:type="dxa"/>
            <w:vAlign w:val="center"/>
            <w:tcMar>
              <w:top w:w="80" w:type="dxa"/>
              <w:bottom w:w="80" w:type="dxa"/>
              <w:left w:w="110" w:type="dxa"/>
              <w:right w:w="110" w:type="dxa"/>
            </w:tcMar>
          </w:tcPr>
          <w:p>
            <w:pPr>
              <w:spacing w:before="0" w:after="0" w:line="276" w:lineRule="auto"/>
            </w:pPr>
            <w:r>
              <w:t xml:space="preserve">INE o ProChile</w:t>
            </w:r>
          </w:p>
        </w:tc>
        <w:tc>
          <w:tcPr>
            <w:tcW w:w="2700" w:type="dxa"/>
            <w:vAlign w:val="center"/>
            <w:tcMar>
              <w:top w:w="80" w:type="dxa"/>
              <w:bottom w:w="80" w:type="dxa"/>
              <w:left w:w="110" w:type="dxa"/>
              <w:right w:w="110" w:type="dxa"/>
            </w:tcMar>
          </w:tcPr>
          <w:p>
            <w:pPr>
              <w:spacing w:before="0" w:after="0" w:line="276" w:lineRule="auto"/>
            </w:pPr>
            <w:r>
              <w:t xml:space="preserve">Medio</w:t>
            </w:r>
          </w:p>
        </w:tc>
      </w:tr>
    </w:tbl>
    <w:p>
      <w:pPr>
        <w:spacing w:before="0" w:after="120" w:line="276" w:lineRule="auto"/>
      </w:pPr>
      <w:r>
        <w:t xml:space="preserve"/>
      </w:r>
    </w:p>
    <w:p>
      <w:pPr>
        <w:spacing w:before="0" w:after="200" w:line="276" w:lineRule="auto"/>
        <w:jc w:val="left"/>
      </w:pPr>
      <w:r>
        <w:rPr>
          <w:b/>
          <w:sz w:val="18"/>
        </w:rPr>
        <w:t xml:space="preserve">Tabla 10. </w:t>
      </w:r>
      <w:r>
        <w:rPr>
          <w:sz w:val="18"/>
        </w:rPr>
        <w:t xml:space="preserve">Verificaciones pendientes, ordenadas por impacto.</w:t>
      </w:r>
    </w:p>
    <w:p>
      <w:pPr>
        <w:pStyle w:val="Heading1"/>
        <w:keepNext/>
        <w:spacing w:before="240" w:after="120" w:line="276" w:lineRule="auto"/>
      </w:pPr>
      <w:r>
        <w:t xml:space="preserve">Bibliografía y fuentes consultadas</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3000"/>
        <w:gridCol w:w="4400"/>
        <w:gridCol w:w="1670"/>
      </w:tblGrid>
      <w:tr>
        <w:trPr>
          <w:tblHeader/>
          <w:cantSplit/>
        </w:trPr>
        <w:tc>
          <w:tcPr>
            <w:tcW w:w="30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Dato</w:t>
            </w:r>
          </w:p>
        </w:tc>
        <w:tc>
          <w:tcPr>
            <w:tcW w:w="44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Fuente</w:t>
            </w:r>
          </w:p>
        </w:tc>
        <w:tc>
          <w:tcPr>
            <w:tcW w:w="16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Nivel</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ACE N° 35 Chile–Mercosur: suscrito el 25 de julio de 1996, vigente desde el 1 de octubre de 1996</w:t>
            </w:r>
          </w:p>
        </w:tc>
        <w:tc>
          <w:tcPr>
            <w:tcW w:w="4400" w:type="dxa"/>
            <w:vAlign w:val="center"/>
            <w:tcMar>
              <w:top w:w="80" w:type="dxa"/>
              <w:bottom w:w="80" w:type="dxa"/>
              <w:left w:w="110" w:type="dxa"/>
              <w:right w:w="110" w:type="dxa"/>
            </w:tcMar>
          </w:tcPr>
          <w:p>
            <w:pPr>
              <w:spacing w:before="0" w:after="0" w:line="276" w:lineRule="auto"/>
            </w:pPr>
            <w:r>
              <w:t xml:space="preserve">SUBREI. Acuerdos comerciales vigentes: Mercosur. subrei.gob.cl</w:t>
            </w:r>
          </w:p>
        </w:tc>
        <w:tc>
          <w:tcPr>
            <w:tcW w:w="1670" w:type="dxa"/>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ACE N° 73, TLC Chile–Uruguay: vigencia internacional 13 de diciembre de 2018; vigencia en Chile 3 de abril de 2019</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Servicio Nacional de Aduanas, aduana.cl; Ministerio de Economía y Finanzas de Uruguay, gub.uy</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Chile y Uruguay con desgravación completa y Zona de Libre Comercio configurada</w:t>
            </w:r>
          </w:p>
        </w:tc>
        <w:tc>
          <w:tcPr>
            <w:tcW w:w="4400" w:type="dxa"/>
            <w:vAlign w:val="center"/>
            <w:tcMar>
              <w:top w:w="80" w:type="dxa"/>
              <w:bottom w:w="80" w:type="dxa"/>
              <w:left w:w="110" w:type="dxa"/>
              <w:right w:w="110" w:type="dxa"/>
            </w:tcMar>
          </w:tcPr>
          <w:p>
            <w:pPr>
              <w:spacing w:before="0" w:after="0" w:line="276" w:lineRule="auto"/>
            </w:pPr>
            <w:r>
              <w:t xml:space="preserve">Ministerio de Economía y Finanzas de Uruguay. ACE 35 Mercosur–Chile. gub.uy</w:t>
            </w:r>
          </w:p>
        </w:tc>
        <w:tc>
          <w:tcPr>
            <w:tcW w:w="1670" w:type="dxa"/>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Alianza del Pacífico: protocolo comercial vigente desde el 1 de mayo de 2016</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Cancillería de Colombia. Alianza del Pacífico. cancilleria.gov.co</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Listas de desgravación de la Alianza del Pacífico, Anexo 3.4 del Protocolo Adicional</w:t>
            </w:r>
          </w:p>
        </w:tc>
        <w:tc>
          <w:tcPr>
            <w:tcW w:w="4400" w:type="dxa"/>
            <w:vAlign w:val="center"/>
            <w:tcMar>
              <w:top w:w="80" w:type="dxa"/>
              <w:bottom w:w="80" w:type="dxa"/>
              <w:left w:w="110" w:type="dxa"/>
              <w:right w:w="110" w:type="dxa"/>
            </w:tcMar>
          </w:tcPr>
          <w:p>
            <w:pPr>
              <w:spacing w:before="0" w:after="0" w:line="276" w:lineRule="auto"/>
            </w:pPr>
            <w:r>
              <w:t xml:space="preserve">Ministerio de Comercio, Industria y Turismo de Colombia. tlc.gov.co</w:t>
            </w:r>
          </w:p>
        </w:tc>
        <w:tc>
          <w:tcPr>
            <w:tcW w:w="1670" w:type="dxa"/>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Sobretasa estadounidense de 12,5 % desde el 24 de julio de 2026, por Memorándum Presidencial del 23 de julio de 2026</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Ex-Ante, ex-ante.cl; La Tercera, latercera.com</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t xml:space="preserve">Prensa</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53 % del valor exportado exento y cerca del 40 % con sobretasa, según cifras de SUBREI</w:t>
            </w:r>
          </w:p>
        </w:tc>
        <w:tc>
          <w:tcPr>
            <w:tcW w:w="4400" w:type="dxa"/>
            <w:vAlign w:val="center"/>
            <w:tcMar>
              <w:top w:w="80" w:type="dxa"/>
              <w:bottom w:w="80" w:type="dxa"/>
              <w:left w:w="110" w:type="dxa"/>
              <w:right w:w="110" w:type="dxa"/>
            </w:tcMar>
          </w:tcPr>
          <w:p>
            <w:pPr>
              <w:spacing w:before="0" w:after="0" w:line="276" w:lineRule="auto"/>
            </w:pPr>
            <w:r>
              <w:t xml:space="preserve">Redimin, redimin.cl</w:t>
            </w:r>
          </w:p>
        </w:tc>
        <w:tc>
          <w:tcPr>
            <w:tcW w:w="1670" w:type="dxa"/>
            <w:vAlign w:val="center"/>
            <w:tcMar>
              <w:top w:w="80" w:type="dxa"/>
              <w:bottom w:w="80" w:type="dxa"/>
              <w:left w:w="110" w:type="dxa"/>
              <w:right w:w="110" w:type="dxa"/>
            </w:tcMar>
          </w:tcPr>
          <w:p>
            <w:pPr>
              <w:spacing w:before="0" w:after="0" w:line="276" w:lineRule="auto"/>
              <w:jc w:val="center"/>
            </w:pPr>
            <w:r>
              <w:t xml:space="preserve">Prensa</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Clasificación arancelaria de la kombucha por consulta vinculante</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Receita Federal de Brasil. Soluções de Consulta COSIT n.º 98316/2019 y n.º 98130/2020</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Glosa de la partida 2202 en la Nomenclatura Común del Mercosur</w:t>
            </w:r>
          </w:p>
        </w:tc>
        <w:tc>
          <w:tcPr>
            <w:tcW w:w="4400" w:type="dxa"/>
            <w:vAlign w:val="center"/>
            <w:tcMar>
              <w:top w:w="80" w:type="dxa"/>
              <w:bottom w:w="80" w:type="dxa"/>
              <w:left w:w="110" w:type="dxa"/>
              <w:right w:w="110" w:type="dxa"/>
            </w:tcMar>
          </w:tcPr>
          <w:p>
            <w:pPr>
              <w:spacing w:before="0" w:after="0" w:line="276" w:lineRule="auto"/>
            </w:pPr>
            <w:r>
              <w:t xml:space="preserve">Receita Federal de Brasil. NCM. gov.br/receitafederal</w:t>
            </w:r>
          </w:p>
        </w:tc>
        <w:tc>
          <w:tcPr>
            <w:tcW w:w="1670" w:type="dxa"/>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Arancel general chileno de 6 % ad valorem sobre valor CIF; IVA de 19 %</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Servicio Nacional de Aduanas. aduana.cl</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Exigencias sanitarias según país de destino</w:t>
            </w:r>
          </w:p>
        </w:tc>
        <w:tc>
          <w:tcPr>
            <w:tcW w:w="4400" w:type="dxa"/>
            <w:vAlign w:val="center"/>
            <w:tcMar>
              <w:top w:w="80" w:type="dxa"/>
              <w:bottom w:w="80" w:type="dxa"/>
              <w:left w:w="110" w:type="dxa"/>
              <w:right w:w="110" w:type="dxa"/>
            </w:tcMar>
          </w:tcPr>
          <w:p>
            <w:pPr>
              <w:spacing w:before="0" w:after="0" w:line="276" w:lineRule="auto"/>
            </w:pPr>
            <w:r>
              <w:t xml:space="preserve">ProChile. Centro de ayuda. prochile.gob.cl</w:t>
            </w:r>
          </w:p>
        </w:tc>
        <w:tc>
          <w:tcPr>
            <w:tcW w:w="1670" w:type="dxa"/>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Producto, formatos y origen de Pinda Kombucha</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Pinda Kombucha. pindakombucha.cl</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rPr>
                <w:color w:val="5F6368"/>
              </w:rPr>
              <w:t xml:space="preserve">Marca: objeto de estudio</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Siete premios internacionales entre 2024 y 2025</w:t>
            </w:r>
          </w:p>
        </w:tc>
        <w:tc>
          <w:tcPr>
            <w:tcW w:w="4400" w:type="dxa"/>
            <w:vAlign w:val="center"/>
            <w:tcMar>
              <w:top w:w="80" w:type="dxa"/>
              <w:bottom w:w="80" w:type="dxa"/>
              <w:left w:w="110" w:type="dxa"/>
              <w:right w:w="110" w:type="dxa"/>
            </w:tcMar>
          </w:tcPr>
          <w:p>
            <w:pPr>
              <w:spacing w:before="0" w:after="0" w:line="276" w:lineRule="auto"/>
            </w:pPr>
            <w:r>
              <w:t xml:space="preserve">Diario Emprende. diarioemprende.cl</w:t>
            </w:r>
          </w:p>
        </w:tc>
        <w:tc>
          <w:tcPr>
            <w:tcW w:w="1670" w:type="dxa"/>
            <w:vAlign w:val="center"/>
            <w:tcMar>
              <w:top w:w="80" w:type="dxa"/>
              <w:bottom w:w="80" w:type="dxa"/>
              <w:left w:w="110" w:type="dxa"/>
              <w:right w:w="110" w:type="dxa"/>
            </w:tcMar>
          </w:tcPr>
          <w:p>
            <w:pPr>
              <w:spacing w:before="0" w:after="0" w:line="276" w:lineRule="auto"/>
              <w:jc w:val="center"/>
            </w:pPr>
            <w:r>
              <w:t xml:space="preserve">Prensa</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Kombuchacha como referente competitivo y única kombucha chilena declarada orgánica certificada</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Publimark. publimark.cl</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t xml:space="preserve">Prensa</w:t>
            </w:r>
          </w:p>
        </w:tc>
      </w:tr>
      <w:tr>
        <w:trPr>
          <w:cantSplit/>
        </w:trPr>
        <w:tc>
          <w:tcPr>
            <w:tcW w:w="3000" w:type="dxa"/>
            <w:vAlign w:val="center"/>
            <w:tcMar>
              <w:top w:w="80" w:type="dxa"/>
              <w:bottom w:w="80" w:type="dxa"/>
              <w:left w:w="110" w:type="dxa"/>
              <w:right w:w="110" w:type="dxa"/>
            </w:tcMar>
          </w:tcPr>
          <w:p>
            <w:pPr>
              <w:spacing w:before="0" w:after="0" w:line="276" w:lineRule="auto"/>
            </w:pPr>
            <w:r>
              <w:rPr>
                <w:b/>
                <w:color w:val="B3261E"/>
              </w:rPr>
              <w:t xml:space="preserve">Tamaño del mercado global de kombucha</w:t>
            </w:r>
          </w:p>
        </w:tc>
        <w:tc>
          <w:tcPr>
            <w:tcW w:w="4400" w:type="dxa"/>
            <w:vAlign w:val="center"/>
            <w:tcMar>
              <w:top w:w="80" w:type="dxa"/>
              <w:bottom w:w="80" w:type="dxa"/>
              <w:left w:w="110" w:type="dxa"/>
              <w:right w:w="110" w:type="dxa"/>
            </w:tcMar>
          </w:tcPr>
          <w:p>
            <w:pPr>
              <w:spacing w:before="0" w:after="0" w:line="276" w:lineRule="auto"/>
            </w:pPr>
            <w:r>
              <w:t xml:space="preserve">Cinco agregadores de informes consultados: devuelven USD 2,90 / 3,25 / 4,74 / 5,19 / 9,60 mil millones para 2025. Divergen hasta tres veces y ninguno publica metodología.</w:t>
            </w:r>
          </w:p>
        </w:tc>
        <w:tc>
          <w:tcPr>
            <w:tcW w:w="1670" w:type="dxa"/>
            <w:vAlign w:val="center"/>
            <w:tcMar>
              <w:top w:w="80" w:type="dxa"/>
              <w:bottom w:w="80" w:type="dxa"/>
              <w:left w:w="110" w:type="dxa"/>
              <w:right w:w="110" w:type="dxa"/>
            </w:tcMar>
          </w:tcPr>
          <w:p>
            <w:pPr>
              <w:spacing w:before="0" w:after="0" w:line="276" w:lineRule="auto"/>
              <w:jc w:val="center"/>
            </w:pPr>
            <w:r>
              <w:rPr>
                <w:b/>
                <w:color w:val="B3261E"/>
              </w:rPr>
              <w:t xml:space="preserve">Descartada</w:t>
            </w:r>
          </w:p>
        </w:tc>
      </w:tr>
    </w:tbl>
    <w:p>
      <w:pPr>
        <w:spacing w:before="0" w:after="120" w:line="276" w:lineRule="auto"/>
      </w:pPr>
      <w:r>
        <w:t xml:space="preserve"/>
      </w:r>
    </w:p>
    <w:p>
      <w:pPr>
        <w:spacing w:before="0" w:after="200" w:line="276" w:lineRule="auto"/>
        <w:jc w:val="left"/>
      </w:pPr>
      <w:r>
        <w:rPr>
          <w:b/>
          <w:sz w:val="18"/>
        </w:rPr>
        <w:t xml:space="preserve">Tabla 11. </w:t>
      </w:r>
      <w:r>
        <w:rPr>
          <w:sz w:val="18"/>
        </w:rPr>
        <w:t xml:space="preserve">Fuentes consultadas con su nivel de confianza declarado. La última fila documenta la fuente descartada y el motivo.</w:t>
      </w:r>
    </w:p>
    <w:sectPr>
      <w:pgSz w:w="11906" w:h="16838"/>
      <w:pgMar w:top="1418" w:right="1418" w:bottom="1418" w:left="1418" w:header="708" w:footer="708" w:gutter="0"/>
    </w:sectPr>
  </w:body>
</w:document>
</file>

<file path=word/settings.xml><?xml version="1.0" encoding="utf-8"?>
<w:settings xmlns:w="http://schemas.openxmlformats.org/wordprocessingml/2006/main">
  <w:updateFields w:val="true"/>
  <w:themeFontLang w:val="es-CL"/>
</w:settings>
</file>

<file path=word/styles.xml><?xml version="1.0" encoding="utf-8"?>
<w:styles xmlns:w="http://schemas.openxmlformats.org/wordprocessingml/2006/main">
  <w:docDefaults>
    <w:rPrDefault>
      <w:rPr>
        <w:rFonts w:ascii="Calibri" w:hAnsi="Calibri" w:cs="Calibri"/>
        <w:sz w:val="22"/>
        <w:szCs w:val="22"/>
        <w:lang w:val="es-CL"/>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after="120"/>
      <w:jc w:val="center"/>
    </w:pPr>
    <w:rPr>
      <w:rFonts w:ascii="Calibri Light" w:hAnsi="Calibri Light"/>
      <w:b/>
      <w:sz w:val="56"/>
      <w:color w:val="14532D"/>
    </w:rPr>
  </w:style>
  <w:style w:type="paragraph" w:styleId="Subtitle">
    <w:name w:val="Subtitle"/>
    <w:basedOn w:val="Normal"/>
    <w:qFormat/>
    <w:pPr>
      <w:jc w:val="center"/>
      <w:spacing w:after="80"/>
    </w:pPr>
    <w:rPr>
      <w:sz w:val="26"/>
      <w:color w:val="5F6368"/>
    </w:rPr>
  </w:style>
  <w:style w:type="paragraph" w:styleId="Heading1">
    <w:name w:val="heading 1"/>
    <w:basedOn w:val="Normal"/>
    <w:next w:val="Normal"/>
    <w:qFormat/>
    <w:pPr>
      <w:outlineLvl w:val="0"/>
      <w:pBdr>
        <w:bottom w:val="single" w:sz="8" w:space="4" w:color="1B5E20"/>
      </w:pBdr>
      <w:spacing w:before="360" w:after="160"/>
    </w:pPr>
    <w:rPr>
      <w:rFonts w:ascii="Calibri Light" w:hAnsi="Calibri Light"/>
      <w:b/>
      <w:sz w:val="34"/>
      <w:color w:val="14532D"/>
    </w:rPr>
  </w:style>
  <w:style w:type="paragraph" w:styleId="Heading2">
    <w:name w:val="heading 2"/>
    <w:basedOn w:val="Normal"/>
    <w:next w:val="Normal"/>
    <w:qFormat/>
    <w:pPr>
      <w:outlineLvl w:val="1"/>
      <w:spacing w:before="280" w:after="120"/>
    </w:pPr>
    <w:rPr>
      <w:rFonts w:ascii="Calibri Light" w:hAnsi="Calibri Light"/>
      <w:b/>
      <w:sz w:val="27"/>
      <w:color w:val="1B5E20"/>
    </w:rPr>
  </w:style>
  <w:style w:type="paragraph" w:styleId="Heading3">
    <w:name w:val="heading 3"/>
    <w:basedOn w:val="Normal"/>
    <w:next w:val="Normal"/>
    <w:qFormat/>
    <w:pPr>
      <w:outlineLvl w:val="2"/>
      <w:spacing w:before="220" w:after="100"/>
    </w:pPr>
    <w:rPr>
      <w:b/>
      <w:sz w:val="23"/>
      <w:color w:val="2E5A34"/>
    </w:rPr>
  </w:style>
  <w:style w:type="paragraph" w:styleId="ListBullet">
    <w:name w:val="List Bullet"/>
    <w:basedOn w:val="Normal"/>
    <w:qFormat/>
    <w:pPr>
      <w:spacing w:after="60"/>
    </w:pPr>
  </w:style>
  <w:style w:type="paragraph" w:styleId="ListNumber">
    <w:name w:val="List Number"/>
    <w:basedOn w:val="Normal"/>
    <w:qFormat/>
    <w:pPr>
      <w:spacing w:after="60"/>
    </w:pPr>
  </w:style>
  <w:style w:type="paragraph" w:styleId="Quote">
    <w:name w:val="Quote"/>
    <w:basedOn w:val="Normal"/>
    <w:qFormat/>
    <w:pPr>
      <w:ind w:left="360"/>
      <w:pBdr>
        <w:left w:val="single" w:sz="18" w:space="8" w:color="1B5E20"/>
      </w:pBdr>
      <w:spacing w:before="160" w:after="160"/>
    </w:pPr>
    <w:rPr>
      <w:i/>
      <w:color w:val="33413A"/>
    </w:rPr>
  </w:style>
  <w:style w:type="paragraph" w:styleId="TOCHeading">
    <w:name w:val="TOC Heading"/>
    <w:basedOn w:val="Heading1"/>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1. Selección y evaluación de mercados — Pinda Kombucha</dc:title>
  <dc:subject>Marketing Internacional ADMI 203 — Universidad Austral de Chile</dc:subject>
  <dc:creator>Altamirano V., Barrientos J.I., Langenbach C., Parra M., Saldivia C.</dc:creator>
  <cp:lastModifiedBy>Altamirano V., Barrientos J.I., Langenbach C., Parra M., Saldivia C.</cp:lastModifiedBy>
  <cp:revision>1</cp:revision>
</cp:coreProperties>
</file>