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jc w:val="center"/>
        <w:rPr>
          <w:rFonts w:ascii="Times New Roman" w:hAnsi="Times New Roman"/>
          <w:b/>
          <w:sz w:val="24"/>
          <w:szCs w:val="24"/>
          <w:lang w:val="en-US"/>
        </w:rPr>
      </w:pPr>
      <w:r>
        <w:rPr>
          <w:rFonts w:ascii="Times New Roman" w:hAnsi="Times New Roman"/>
          <w:b/>
          <w:sz w:val="24"/>
          <w:szCs w:val="24"/>
          <w:lang w:val="en-US"/>
        </w:rPr>
        <w:t xml:space="preserve">Firm Size Distribution and Power Laws in Brazil: Empirical Evidence </w:t>
      </w:r>
    </w:p>
    <w:p>
      <w:pPr>
        <w:jc w:val="center"/>
        <w:rPr>
          <w:rFonts w:ascii="Times New Roman" w:hAnsi="Times New Roman"/>
          <w:b/>
          <w:sz w:val="24"/>
          <w:szCs w:val="24"/>
          <w:lang w:val="en-US"/>
        </w:rPr>
      </w:pPr>
    </w:p>
    <w:p>
      <w:pPr>
        <w:spacing w:line="240" w:lineRule="auto"/>
        <w:jc w:val="center"/>
        <w:rPr>
          <w:rFonts w:ascii="Times New Roman" w:hAnsi="Times New Roman"/>
          <w:sz w:val="24"/>
          <w:szCs w:val="24"/>
        </w:rPr>
      </w:pPr>
      <w:r>
        <w:rPr>
          <w:rFonts w:ascii="Times New Roman" w:hAnsi="Times New Roman"/>
          <w:sz w:val="24"/>
          <w:szCs w:val="24"/>
        </w:rPr>
        <w:t xml:space="preserve">Marcelo</w:t>
      </w:r>
      <w:r>
        <w:rPr>
          <w:rFonts w:ascii="Times New Roman" w:hAnsi="Times New Roman" w:eastAsia="Arial"/>
          <w:sz w:val="24"/>
          <w:szCs w:val="24"/>
        </w:rPr>
        <w:t xml:space="preserve"> </w:t>
      </w:r>
      <w:r>
        <w:rPr>
          <w:rFonts w:ascii="Times New Roman" w:hAnsi="Times New Roman"/>
          <w:sz w:val="24"/>
          <w:szCs w:val="24"/>
        </w:rPr>
        <w:t xml:space="preserve">Resende</w:t>
      </w:r>
    </w:p>
    <w:p>
      <w:pPr>
        <w:spacing w:line="240" w:lineRule="auto"/>
        <w:jc w:val="center"/>
        <w:rPr>
          <w:rFonts w:ascii="Times New Roman" w:hAnsi="Times New Roman"/>
          <w:sz w:val="24"/>
          <w:szCs w:val="24"/>
        </w:rPr>
      </w:pPr>
      <w:r>
        <w:rPr>
          <w:rFonts w:ascii="Times New Roman" w:hAnsi="Times New Roman"/>
          <w:sz w:val="24"/>
          <w:szCs w:val="24"/>
        </w:rPr>
        <w:t xml:space="preserve">Instituto</w:t>
      </w:r>
      <w:r>
        <w:rPr>
          <w:rFonts w:ascii="Times New Roman" w:hAnsi="Times New Roman" w:eastAsia="Arial"/>
          <w:sz w:val="24"/>
          <w:szCs w:val="24"/>
        </w:rPr>
        <w:t xml:space="preserve"> </w:t>
      </w:r>
      <w:r>
        <w:rPr>
          <w:rFonts w:ascii="Times New Roman" w:hAnsi="Times New Roman"/>
          <w:sz w:val="24"/>
          <w:szCs w:val="24"/>
        </w:rPr>
        <w:t xml:space="preserve">de</w:t>
      </w:r>
      <w:r>
        <w:rPr>
          <w:rFonts w:ascii="Times New Roman" w:hAnsi="Times New Roman" w:eastAsia="Arial"/>
          <w:sz w:val="24"/>
          <w:szCs w:val="24"/>
        </w:rPr>
        <w:t xml:space="preserve"> </w:t>
      </w:r>
      <w:r>
        <w:rPr>
          <w:rFonts w:ascii="Times New Roman" w:hAnsi="Times New Roman"/>
          <w:sz w:val="24"/>
          <w:szCs w:val="24"/>
        </w:rPr>
        <w:t xml:space="preserve">Economia,</w:t>
      </w:r>
      <w:r>
        <w:rPr>
          <w:rFonts w:ascii="Times New Roman" w:hAnsi="Times New Roman" w:eastAsia="Arial"/>
          <w:sz w:val="24"/>
          <w:szCs w:val="24"/>
        </w:rPr>
        <w:t xml:space="preserve"> </w:t>
      </w:r>
      <w:r>
        <w:rPr>
          <w:rFonts w:ascii="Times New Roman" w:hAnsi="Times New Roman"/>
          <w:sz w:val="24"/>
          <w:szCs w:val="24"/>
        </w:rPr>
        <w:t xml:space="preserve">Universidade</w:t>
      </w:r>
      <w:r>
        <w:rPr>
          <w:rFonts w:ascii="Times New Roman" w:hAnsi="Times New Roman" w:eastAsia="Arial"/>
          <w:sz w:val="24"/>
          <w:szCs w:val="24"/>
        </w:rPr>
        <w:t xml:space="preserve"> </w:t>
      </w:r>
      <w:r>
        <w:rPr>
          <w:rFonts w:ascii="Times New Roman" w:hAnsi="Times New Roman"/>
          <w:sz w:val="24"/>
          <w:szCs w:val="24"/>
        </w:rPr>
        <w:t xml:space="preserve">Federal</w:t>
      </w:r>
      <w:r>
        <w:rPr>
          <w:rFonts w:ascii="Times New Roman" w:hAnsi="Times New Roman" w:eastAsia="Arial"/>
          <w:sz w:val="24"/>
          <w:szCs w:val="24"/>
        </w:rPr>
        <w:t xml:space="preserve"> </w:t>
      </w:r>
      <w:r>
        <w:rPr>
          <w:rFonts w:ascii="Times New Roman" w:hAnsi="Times New Roman"/>
          <w:sz w:val="24"/>
          <w:szCs w:val="24"/>
        </w:rPr>
        <w:t xml:space="preserve">do</w:t>
      </w:r>
      <w:r>
        <w:rPr>
          <w:rFonts w:ascii="Times New Roman" w:hAnsi="Times New Roman" w:eastAsia="Arial"/>
          <w:sz w:val="24"/>
          <w:szCs w:val="24"/>
        </w:rPr>
        <w:t xml:space="preserve"> </w:t>
      </w:r>
      <w:r>
        <w:rPr>
          <w:rFonts w:ascii="Times New Roman" w:hAnsi="Times New Roman"/>
          <w:sz w:val="24"/>
          <w:szCs w:val="24"/>
        </w:rPr>
        <w:t xml:space="preserve">Rio</w:t>
      </w:r>
      <w:r>
        <w:rPr>
          <w:rFonts w:ascii="Times New Roman" w:hAnsi="Times New Roman" w:eastAsia="Arial"/>
          <w:sz w:val="24"/>
          <w:szCs w:val="24"/>
        </w:rPr>
        <w:t xml:space="preserve"> </w:t>
      </w:r>
      <w:r>
        <w:rPr>
          <w:rFonts w:ascii="Times New Roman" w:hAnsi="Times New Roman"/>
          <w:sz w:val="24"/>
          <w:szCs w:val="24"/>
        </w:rPr>
        <w:t xml:space="preserve">de</w:t>
      </w:r>
      <w:r>
        <w:rPr>
          <w:rFonts w:ascii="Times New Roman" w:hAnsi="Times New Roman" w:eastAsia="Arial"/>
          <w:sz w:val="24"/>
          <w:szCs w:val="24"/>
        </w:rPr>
        <w:t xml:space="preserve"> </w:t>
      </w:r>
      <w:r>
        <w:rPr>
          <w:rFonts w:ascii="Times New Roman" w:hAnsi="Times New Roman"/>
          <w:sz w:val="24"/>
          <w:szCs w:val="24"/>
        </w:rPr>
        <w:t xml:space="preserve">Janeiro</w:t>
      </w:r>
    </w:p>
    <w:p>
      <w:pPr>
        <w:spacing w:line="240" w:lineRule="auto"/>
        <w:jc w:val="center"/>
        <w:rPr>
          <w:rFonts w:ascii="Times New Roman" w:hAnsi="Times New Roman"/>
          <w:sz w:val="24"/>
          <w:szCs w:val="24"/>
        </w:rPr>
      </w:pPr>
      <w:r>
        <w:rPr>
          <w:rFonts w:ascii="Times New Roman" w:hAnsi="Times New Roman"/>
          <w:sz w:val="24"/>
          <w:szCs w:val="24"/>
        </w:rPr>
        <w:t xml:space="preserve">Av.</w:t>
      </w:r>
      <w:r>
        <w:rPr>
          <w:rFonts w:ascii="Times New Roman" w:hAnsi="Times New Roman" w:eastAsia="Arial"/>
          <w:sz w:val="24"/>
          <w:szCs w:val="24"/>
        </w:rPr>
        <w:t xml:space="preserve"> </w:t>
      </w:r>
      <w:r>
        <w:rPr>
          <w:rFonts w:ascii="Times New Roman" w:hAnsi="Times New Roman"/>
          <w:sz w:val="24"/>
          <w:szCs w:val="24"/>
        </w:rPr>
        <w:t xml:space="preserve">Pasteur</w:t>
      </w:r>
      <w:r>
        <w:rPr>
          <w:rFonts w:ascii="Times New Roman" w:hAnsi="Times New Roman" w:eastAsia="Arial"/>
          <w:sz w:val="24"/>
          <w:szCs w:val="24"/>
        </w:rPr>
        <w:t xml:space="preserve"> </w:t>
      </w:r>
      <w:r>
        <w:rPr>
          <w:rFonts w:ascii="Times New Roman" w:hAnsi="Times New Roman"/>
          <w:sz w:val="24"/>
          <w:szCs w:val="24"/>
        </w:rPr>
        <w:t xml:space="preserve">250,</w:t>
      </w:r>
      <w:r>
        <w:rPr>
          <w:rFonts w:ascii="Times New Roman" w:hAnsi="Times New Roman" w:eastAsia="Arial"/>
          <w:sz w:val="24"/>
          <w:szCs w:val="24"/>
        </w:rPr>
        <w:t xml:space="preserve"> </w:t>
      </w:r>
      <w:r>
        <w:rPr>
          <w:rFonts w:ascii="Times New Roman" w:hAnsi="Times New Roman"/>
          <w:sz w:val="24"/>
          <w:szCs w:val="24"/>
        </w:rPr>
        <w:t xml:space="preserve">Urca,</w:t>
      </w:r>
      <w:r>
        <w:rPr>
          <w:rFonts w:ascii="Times New Roman" w:hAnsi="Times New Roman" w:eastAsia="Arial"/>
          <w:sz w:val="24"/>
          <w:szCs w:val="24"/>
        </w:rPr>
        <w:t xml:space="preserve"> </w:t>
      </w:r>
      <w:r>
        <w:rPr>
          <w:rFonts w:ascii="Times New Roman" w:hAnsi="Times New Roman"/>
          <w:sz w:val="24"/>
          <w:szCs w:val="24"/>
        </w:rPr>
        <w:t xml:space="preserve">22290-240, Rio</w:t>
      </w:r>
      <w:r>
        <w:rPr>
          <w:rFonts w:ascii="Times New Roman" w:hAnsi="Times New Roman" w:eastAsia="Arial"/>
          <w:sz w:val="24"/>
          <w:szCs w:val="24"/>
        </w:rPr>
        <w:t xml:space="preserve"> </w:t>
      </w:r>
      <w:r>
        <w:rPr>
          <w:rFonts w:ascii="Times New Roman" w:hAnsi="Times New Roman"/>
          <w:sz w:val="24"/>
          <w:szCs w:val="24"/>
        </w:rPr>
        <w:t xml:space="preserve">de</w:t>
      </w:r>
      <w:r>
        <w:rPr>
          <w:rFonts w:ascii="Times New Roman" w:hAnsi="Times New Roman" w:eastAsia="Arial"/>
          <w:sz w:val="24"/>
          <w:szCs w:val="24"/>
        </w:rPr>
        <w:t xml:space="preserve"> </w:t>
      </w:r>
      <w:r>
        <w:rPr>
          <w:rFonts w:ascii="Times New Roman" w:hAnsi="Times New Roman"/>
          <w:sz w:val="24"/>
          <w:szCs w:val="24"/>
        </w:rPr>
        <w:t xml:space="preserve">Janeiro-RJ,</w:t>
      </w:r>
      <w:r>
        <w:rPr>
          <w:rFonts w:ascii="Times New Roman" w:hAnsi="Times New Roman" w:eastAsia="Arial"/>
          <w:sz w:val="24"/>
          <w:szCs w:val="24"/>
        </w:rPr>
        <w:t xml:space="preserve"> </w:t>
      </w:r>
      <w:r>
        <w:rPr>
          <w:rFonts w:ascii="Times New Roman" w:hAnsi="Times New Roman"/>
          <w:sz w:val="24"/>
          <w:szCs w:val="24"/>
        </w:rPr>
        <w:t xml:space="preserve">Brazil</w:t>
      </w:r>
    </w:p>
    <w:p>
      <w:pPr>
        <w:spacing w:line="240" w:lineRule="auto"/>
        <w:jc w:val="center"/>
        <w:rPr>
          <w:rStyle w:val="Hyperlink"/>
          <w:rFonts w:ascii="Times New Roman" w:hAnsi="Times New Roman"/>
          <w:color w:val="auto"/>
          <w:sz w:val="24"/>
          <w:szCs w:val="24"/>
          <w:u w:val="none"/>
        </w:rPr>
      </w:pPr>
      <w:hyperlink r:id="rId1" w:history="1">
        <w:r>
          <w:rPr>
            <w:rStyle w:val="Hyperlink"/>
            <w:rFonts w:ascii="Times New Roman" w:hAnsi="Times New Roman"/>
            <w:color w:val="auto"/>
            <w:sz w:val="24"/>
            <w:szCs w:val="24"/>
            <w:u w:val="none"/>
          </w:rPr>
          <w:t xml:space="preserve">mresende@ie.ufrj.br</w:t>
        </w:r>
      </w:hyperlink>
    </w:p>
    <w:p>
      <w:pPr>
        <w:spacing w:line="240" w:lineRule="auto"/>
        <w:jc w:val="center"/>
        <w:rPr>
          <w:rFonts w:ascii="Times New Roman" w:hAnsi="Times New Roman"/>
          <w:sz w:val="24"/>
          <w:szCs w:val="24"/>
        </w:rPr>
      </w:pPr>
    </w:p>
    <w:p>
      <w:pPr>
        <w:jc w:val="center"/>
        <w:rPr>
          <w:rFonts w:ascii="Times New Roman" w:hAnsi="Times New Roman"/>
          <w:sz w:val="24"/>
          <w:szCs w:val="24"/>
        </w:rPr>
      </w:pPr>
      <w:r>
        <w:rPr>
          <w:rFonts w:ascii="Times New Roman" w:hAnsi="Times New Roman"/>
          <w:sz w:val="24"/>
          <w:szCs w:val="24"/>
        </w:rPr>
        <w:t xml:space="preserve">Vicente</w:t>
      </w:r>
      <w:r>
        <w:rPr>
          <w:rFonts w:ascii="Times New Roman" w:hAnsi="Times New Roman" w:eastAsia="Arial"/>
          <w:sz w:val="24"/>
          <w:szCs w:val="24"/>
        </w:rPr>
        <w:t xml:space="preserve"> </w:t>
      </w:r>
      <w:r>
        <w:rPr>
          <w:rFonts w:ascii="Times New Roman" w:hAnsi="Times New Roman"/>
          <w:sz w:val="24"/>
          <w:szCs w:val="24"/>
        </w:rPr>
        <w:t xml:space="preserve">Cardoso</w:t>
      </w:r>
    </w:p>
    <w:p>
      <w:pPr>
        <w:jc w:val="center"/>
        <w:rPr>
          <w:rFonts w:ascii="Times New Roman" w:hAnsi="Times New Roman"/>
          <w:sz w:val="24"/>
          <w:szCs w:val="24"/>
        </w:rPr>
      </w:pPr>
      <w:r>
        <w:rPr>
          <w:rFonts w:ascii="Times New Roman" w:hAnsi="Times New Roman"/>
          <w:sz w:val="24"/>
          <w:szCs w:val="24"/>
        </w:rPr>
        <w:t xml:space="preserve">Banco</w:t>
      </w:r>
      <w:r>
        <w:rPr>
          <w:rFonts w:ascii="Times New Roman" w:hAnsi="Times New Roman" w:eastAsia="Arial"/>
          <w:sz w:val="24"/>
          <w:szCs w:val="24"/>
        </w:rPr>
        <w:t xml:space="preserve"> </w:t>
      </w:r>
      <w:r>
        <w:rPr>
          <w:rFonts w:ascii="Times New Roman" w:hAnsi="Times New Roman"/>
          <w:sz w:val="24"/>
          <w:szCs w:val="24"/>
        </w:rPr>
        <w:t xml:space="preserve">Nacional</w:t>
      </w:r>
      <w:r>
        <w:rPr>
          <w:rFonts w:ascii="Times New Roman" w:hAnsi="Times New Roman" w:eastAsia="Arial"/>
          <w:sz w:val="24"/>
          <w:szCs w:val="24"/>
        </w:rPr>
        <w:t xml:space="preserve"> </w:t>
      </w:r>
      <w:r>
        <w:rPr>
          <w:rFonts w:ascii="Times New Roman" w:hAnsi="Times New Roman"/>
          <w:sz w:val="24"/>
          <w:szCs w:val="24"/>
        </w:rPr>
        <w:t xml:space="preserve">de</w:t>
      </w:r>
      <w:r>
        <w:rPr>
          <w:rFonts w:ascii="Times New Roman" w:hAnsi="Times New Roman" w:eastAsia="Arial"/>
          <w:sz w:val="24"/>
          <w:szCs w:val="24"/>
        </w:rPr>
        <w:t xml:space="preserve"> </w:t>
      </w:r>
      <w:r>
        <w:rPr>
          <w:rFonts w:ascii="Times New Roman" w:hAnsi="Times New Roman"/>
          <w:sz w:val="24"/>
          <w:szCs w:val="24"/>
        </w:rPr>
        <w:t xml:space="preserve">Desenvolvimento</w:t>
      </w:r>
      <w:r>
        <w:rPr>
          <w:rFonts w:ascii="Times New Roman" w:hAnsi="Times New Roman" w:eastAsia="Arial"/>
          <w:sz w:val="24"/>
          <w:szCs w:val="24"/>
        </w:rPr>
        <w:t xml:space="preserve"> </w:t>
      </w:r>
      <w:r>
        <w:rPr>
          <w:rFonts w:ascii="Times New Roman" w:hAnsi="Times New Roman"/>
          <w:sz w:val="24"/>
          <w:szCs w:val="24"/>
        </w:rPr>
        <w:t xml:space="preserve">Econômico</w:t>
      </w:r>
      <w:r>
        <w:rPr>
          <w:rFonts w:ascii="Times New Roman" w:hAnsi="Times New Roman" w:eastAsia="Arial"/>
          <w:sz w:val="24"/>
          <w:szCs w:val="24"/>
        </w:rPr>
        <w:t xml:space="preserve"> </w:t>
      </w:r>
      <w:r>
        <w:rPr>
          <w:rFonts w:ascii="Times New Roman" w:hAnsi="Times New Roman"/>
          <w:sz w:val="24"/>
          <w:szCs w:val="24"/>
        </w:rPr>
        <w:t xml:space="preserve">e</w:t>
      </w:r>
      <w:r>
        <w:rPr>
          <w:rFonts w:ascii="Times New Roman" w:hAnsi="Times New Roman" w:eastAsia="Arial"/>
          <w:sz w:val="24"/>
          <w:szCs w:val="24"/>
        </w:rPr>
        <w:t xml:space="preserve"> </w:t>
      </w:r>
      <w:r>
        <w:rPr>
          <w:rFonts w:ascii="Times New Roman" w:hAnsi="Times New Roman"/>
          <w:sz w:val="24"/>
          <w:szCs w:val="24"/>
        </w:rPr>
        <w:t xml:space="preserve">Social-BNDES</w:t>
      </w:r>
    </w:p>
    <w:p>
      <w:pPr>
        <w:jc w:val="center"/>
        <w:rPr>
          <w:rFonts w:ascii="Times New Roman" w:hAnsi="Times New Roman"/>
          <w:sz w:val="24"/>
          <w:szCs w:val="24"/>
        </w:rPr>
      </w:pPr>
      <w:r>
        <w:rPr>
          <w:rFonts w:ascii="Times New Roman" w:hAnsi="Times New Roman"/>
          <w:sz w:val="24"/>
          <w:szCs w:val="24"/>
        </w:rPr>
        <w:t xml:space="preserve">Av.</w:t>
      </w:r>
      <w:r>
        <w:rPr>
          <w:rFonts w:ascii="Times New Roman" w:hAnsi="Times New Roman" w:eastAsia="Arial"/>
          <w:sz w:val="24"/>
          <w:szCs w:val="24"/>
        </w:rPr>
        <w:t xml:space="preserve"> </w:t>
      </w:r>
      <w:r>
        <w:rPr>
          <w:rFonts w:ascii="Times New Roman" w:hAnsi="Times New Roman"/>
          <w:sz w:val="24"/>
          <w:szCs w:val="24"/>
        </w:rPr>
        <w:t xml:space="preserve">República</w:t>
      </w:r>
      <w:r>
        <w:rPr>
          <w:rFonts w:ascii="Times New Roman" w:hAnsi="Times New Roman" w:eastAsia="Arial"/>
          <w:sz w:val="24"/>
          <w:szCs w:val="24"/>
        </w:rPr>
        <w:t xml:space="preserve"> </w:t>
      </w:r>
      <w:r>
        <w:rPr>
          <w:rFonts w:ascii="Times New Roman" w:hAnsi="Times New Roman"/>
          <w:sz w:val="24"/>
          <w:szCs w:val="24"/>
        </w:rPr>
        <w:t xml:space="preserve">do</w:t>
      </w:r>
      <w:r>
        <w:rPr>
          <w:rFonts w:ascii="Times New Roman" w:hAnsi="Times New Roman" w:eastAsia="Arial"/>
          <w:sz w:val="24"/>
          <w:szCs w:val="24"/>
        </w:rPr>
        <w:t xml:space="preserve"> </w:t>
      </w:r>
      <w:r>
        <w:rPr>
          <w:rFonts w:ascii="Times New Roman" w:hAnsi="Times New Roman"/>
          <w:sz w:val="24"/>
          <w:szCs w:val="24"/>
        </w:rPr>
        <w:t xml:space="preserve">Chile</w:t>
      </w:r>
      <w:r>
        <w:rPr>
          <w:rFonts w:ascii="Times New Roman" w:hAnsi="Times New Roman" w:eastAsia="Arial"/>
          <w:sz w:val="24"/>
          <w:szCs w:val="24"/>
        </w:rPr>
        <w:t xml:space="preserve"> </w:t>
      </w:r>
      <w:r>
        <w:rPr>
          <w:rFonts w:ascii="Times New Roman" w:hAnsi="Times New Roman"/>
          <w:sz w:val="24"/>
          <w:szCs w:val="24"/>
        </w:rPr>
        <w:t xml:space="preserve">100,</w:t>
      </w:r>
      <w:r>
        <w:rPr>
          <w:rFonts w:ascii="Times New Roman" w:hAnsi="Times New Roman" w:eastAsia="Arial"/>
          <w:sz w:val="24"/>
          <w:szCs w:val="24"/>
        </w:rPr>
        <w:t xml:space="preserve"> </w:t>
      </w:r>
      <w:r>
        <w:rPr>
          <w:rFonts w:ascii="Times New Roman" w:hAnsi="Times New Roman"/>
          <w:sz w:val="24"/>
          <w:szCs w:val="24"/>
        </w:rPr>
        <w:t xml:space="preserve">20031-917, Rio</w:t>
      </w:r>
      <w:r>
        <w:rPr>
          <w:rFonts w:ascii="Times New Roman" w:hAnsi="Times New Roman" w:eastAsia="Arial"/>
          <w:sz w:val="24"/>
          <w:szCs w:val="24"/>
        </w:rPr>
        <w:t xml:space="preserve"> </w:t>
      </w:r>
      <w:r>
        <w:rPr>
          <w:rFonts w:ascii="Times New Roman" w:hAnsi="Times New Roman"/>
          <w:sz w:val="24"/>
          <w:szCs w:val="24"/>
        </w:rPr>
        <w:t xml:space="preserve">de</w:t>
      </w:r>
      <w:r>
        <w:rPr>
          <w:rFonts w:ascii="Times New Roman" w:hAnsi="Times New Roman" w:eastAsia="Arial"/>
          <w:sz w:val="24"/>
          <w:szCs w:val="24"/>
        </w:rPr>
        <w:t xml:space="preserve"> </w:t>
      </w:r>
      <w:r>
        <w:rPr>
          <w:rFonts w:ascii="Times New Roman" w:hAnsi="Times New Roman"/>
          <w:sz w:val="24"/>
          <w:szCs w:val="24"/>
        </w:rPr>
        <w:t xml:space="preserve">Janeiro-RJ,</w:t>
      </w:r>
      <w:r>
        <w:rPr>
          <w:rFonts w:ascii="Times New Roman" w:hAnsi="Times New Roman" w:eastAsia="Arial"/>
          <w:sz w:val="24"/>
          <w:szCs w:val="24"/>
        </w:rPr>
        <w:t xml:space="preserve"> </w:t>
      </w:r>
      <w:r>
        <w:rPr>
          <w:rFonts w:ascii="Times New Roman" w:hAnsi="Times New Roman"/>
          <w:sz w:val="24"/>
          <w:szCs w:val="24"/>
        </w:rPr>
        <w:t xml:space="preserve">Brazil</w:t>
      </w:r>
    </w:p>
    <w:p>
      <w:pPr>
        <w:jc w:val="center"/>
        <w:rPr>
          <w:rStyle w:val="Hyperlink"/>
          <w:rFonts w:ascii="Times New Roman" w:hAnsi="Times New Roman"/>
          <w:color w:val="auto"/>
          <w:sz w:val="24"/>
          <w:szCs w:val="24"/>
          <w:u w:val="none"/>
          <w:lang w:val="en-US"/>
        </w:rPr>
      </w:pPr>
      <w:hyperlink r:id="rId2" w:history="1">
        <w:r>
          <w:rPr>
            <w:rStyle w:val="Hyperlink"/>
            <w:rFonts w:ascii="Times New Roman" w:hAnsi="Times New Roman"/>
            <w:color w:val="auto"/>
            <w:sz w:val="24"/>
            <w:szCs w:val="24"/>
            <w:u w:val="none"/>
            <w:lang w:val="en-US"/>
          </w:rPr>
          <w:t xml:space="preserve">vicente.cardoso@bndes.gov.br</w:t>
        </w:r>
      </w:hyperlink>
    </w:p>
    <w:p>
      <w:pPr>
        <w:spacing w:line="240" w:lineRule="auto"/>
        <w:jc w:val="center"/>
        <w:rPr>
          <w:rFonts w:ascii="Times New Roman" w:hAnsi="Times New Roman"/>
          <w:sz w:val="24"/>
          <w:szCs w:val="24"/>
        </w:rPr>
      </w:pPr>
    </w:p>
    <w:p>
      <w:pPr>
        <w:jc w:val="center"/>
        <w:rPr>
          <w:rFonts w:ascii="Times New Roman" w:hAnsi="Times New Roman"/>
          <w:b/>
          <w:sz w:val="24"/>
          <w:szCs w:val="24"/>
          <w:lang w:val="en-US"/>
        </w:rPr>
      </w:pPr>
      <w:r>
        <w:rPr>
          <w:rFonts w:ascii="Times New Roman" w:hAnsi="Times New Roman"/>
          <w:b/>
          <w:sz w:val="24"/>
          <w:szCs w:val="24"/>
          <w:lang w:val="en-US"/>
        </w:rPr>
        <w:t xml:space="preserve">Abstract</w:t>
      </w:r>
    </w:p>
    <w:p>
      <w:pPr>
        <w:pStyle w:val="Corpodetexto"/>
        <w:jc w:val="both"/>
        <w:rPr>
          <w:rFonts w:ascii="Times New Roman" w:hAnsi="Times New Roman"/>
          <w:color w:val="000000"/>
        </w:rPr>
      </w:pPr>
      <w:r>
        <w:rPr>
          <w:rFonts w:ascii="Times New Roman" w:hAnsi="Times New Roman"/>
          <w:color w:val="000000"/>
        </w:rPr>
        <w:t xml:space="preserve">This paper investigates power laws for the firm size distribution in Brazil for the largest 1000, 500 and 100 firms. A systematic nested testing strategy is implemented and stronger evidence for a Pareto type I distribution emerges only for the extreme upper tail of the distribution (top 100 firms). The Pareto exponents for the top 100 firms display a statistically significant downward trend and a structural break in 2010. Their mean falls from approximately 1.27 in 1999–2009 to 1.05 in 2010–2024, approaching the Zipf benchmark of 1 and indicating a thicker upper tail and greater revenue concentration among superstar firms.</w:t>
      </w:r>
    </w:p>
    <w:p>
      <w:pPr>
        <w:pStyle w:val="Corpodetexto"/>
        <w:rPr>
          <w:rFonts w:ascii="Times New Roman" w:hAnsi="Times New Roman"/>
          <w:color w:val="000000"/>
        </w:rPr>
      </w:pPr>
    </w:p>
    <w:p>
      <w:pPr>
        <w:pStyle w:val="Corpodetexto"/>
        <w:rPr>
          <w:rFonts w:ascii="Times New Roman" w:hAnsi="Times New Roman"/>
        </w:rPr>
      </w:pPr>
    </w:p>
    <w:p>
      <w:pPr>
        <w:pStyle w:val="Corpodetexto"/>
        <w:rPr>
          <w:rFonts w:ascii="Times New Roman" w:hAnsi="Times New Roman"/>
        </w:rPr>
      </w:pPr>
    </w:p>
    <w:p>
      <w:pPr>
        <w:jc w:val="both"/>
        <w:rPr>
          <w:rFonts w:ascii="Times New Roman" w:hAnsi="Times New Roman"/>
          <w:bCs/>
          <w:sz w:val="24"/>
          <w:szCs w:val="24"/>
          <w:lang w:val="en-US"/>
        </w:rPr>
      </w:pPr>
    </w:p>
    <w:p>
      <w:pPr>
        <w:rPr>
          <w:rFonts w:ascii="Times New Roman" w:hAnsi="Times New Roman"/>
          <w:sz w:val="24"/>
          <w:szCs w:val="24"/>
          <w:lang w:val="en-US"/>
        </w:rPr>
      </w:pPr>
      <w:r>
        <w:rPr>
          <w:rFonts w:ascii="Times New Roman" w:hAnsi="Times New Roman"/>
          <w:b/>
          <w:sz w:val="24"/>
          <w:szCs w:val="24"/>
          <w:lang w:val="en-US"/>
        </w:rPr>
        <w:t xml:space="preserve">Keywords</w:t>
      </w:r>
      <w:r>
        <w:rPr>
          <w:rFonts w:ascii="Times New Roman" w:hAnsi="Times New Roman"/>
          <w:sz w:val="24"/>
          <w:szCs w:val="24"/>
          <w:lang w:val="en-US"/>
        </w:rPr>
        <w:t xml:space="preserve">: power law; firm size; Pareto distribution; Brazil</w:t>
      </w:r>
    </w:p>
    <w:p>
      <w:pPr>
        <w:rPr>
          <w:rFonts w:ascii="Times New Roman" w:hAnsi="Times New Roman"/>
          <w:sz w:val="24"/>
          <w:szCs w:val="24"/>
        </w:rPr>
      </w:pPr>
      <w:r>
        <w:rPr>
          <w:rFonts w:ascii="Times New Roman" w:hAnsi="Times New Roman"/>
          <w:b/>
          <w:sz w:val="24"/>
          <w:szCs w:val="24"/>
          <w:lang w:val="en-US"/>
        </w:rPr>
        <w:t xml:space="preserve">JEL Classification</w:t>
      </w:r>
      <w:r>
        <w:rPr>
          <w:rFonts w:ascii="Times New Roman" w:hAnsi="Times New Roman"/>
          <w:sz w:val="24"/>
          <w:szCs w:val="24"/>
          <w:lang w:val="en-US"/>
        </w:rPr>
        <w:t xml:space="preserve">: </w:t>
      </w:r>
      <w:r>
        <w:rPr>
          <w:rFonts w:ascii="Times New Roman" w:hAnsi="Times New Roman"/>
          <w:sz w:val="24"/>
          <w:szCs w:val="24"/>
        </w:rPr>
        <w:t xml:space="preserve">C12; C49; L11</w:t>
      </w:r>
    </w:p>
    <w:p>
      <w:pPr>
        <w:spacing w:after="0" w:line="240" w:lineRule="auto"/>
        <w:rPr>
          <w:rFonts w:ascii="Times New Roman" w:hAnsi="Times New Roman"/>
          <w:sz w:val="24"/>
          <w:szCs w:val="24"/>
          <w:lang w:val="en-US"/>
        </w:rPr>
      </w:pPr>
      <w:r>
        <w:rPr>
          <w:rFonts w:ascii="Times New Roman" w:hAnsi="Times New Roman"/>
          <w:sz w:val="24"/>
          <w:szCs w:val="24"/>
          <w:lang w:val="en-US"/>
        </w:rPr>
        <w:br w:type="page"/>
      </w:r>
    </w:p>
    <w:p>
      <w:pPr>
        <w:pStyle w:val="PargrafodaLista"/>
        <w:numPr>
          <w:ilvl w:val="0"/>
          <w:numId w:val="1"/>
        </w:numPr>
        <w:spacing w:line="360" w:lineRule="auto"/>
        <w:ind w:left="0" w:firstLine="0"/>
        <w:rPr>
          <w:rFonts w:ascii="Times New Roman" w:hAnsi="Times New Roman"/>
          <w:b/>
          <w:sz w:val="24"/>
          <w:szCs w:val="24"/>
        </w:rPr>
      </w:pPr>
      <w:r>
        <w:rPr>
          <w:rFonts w:ascii="Times New Roman" w:hAnsi="Times New Roman"/>
          <w:b/>
          <w:sz w:val="24"/>
          <w:szCs w:val="24"/>
        </w:rPr>
        <w:t xml:space="preserve">Introduction</w:t>
      </w:r>
    </w:p>
    <w:p>
      <w:pPr>
        <w:pStyle w:val="PargrafodaLista"/>
        <w:spacing w:line="360" w:lineRule="auto"/>
        <w:ind w:left="142" w:firstLine="566"/>
        <w:jc w:val="both"/>
        <w:rPr>
          <w:rFonts w:ascii="Times New Roman" w:hAnsi="Times New Roman"/>
          <w:sz w:val="24"/>
          <w:szCs w:val="24"/>
          <w:lang w:val="en-US"/>
        </w:rPr>
      </w:pPr>
      <w:r>
        <w:rPr>
          <w:rFonts w:ascii="Times New Roman" w:hAnsi="Times New Roman"/>
          <w:sz w:val="24"/>
          <w:szCs w:val="24"/>
          <w:lang w:val="en-US"/>
        </w:rPr>
        <w:t xml:space="preserve">The search for distributional regularities is valuable as an initial characterization of phenomena in different areas of knowledge. An influential example in economics relates to lognormal limiting distributions for firm size associated with the so-called Gibrat’s law as implied by rates of firm growth for firms that are size-independent [see Sutton (1997) and Coad (2009)]. Quite often, regularities take the form of a power law, </w:t>
      </w:r>
      <m:oMath>
        <m:r>
          <w:rPr>
            <w:rFonts w:ascii="Cambria Math" w:hAnsi="Cambria Math"/>
          </w:rPr>
          <m:t xml:space="preserve">Y=c</m:t>
        </m:r>
        <m:sSup>
          <m:sSupPr>
            <m:ctrlPr>
              <w:rPr>
                <w:rFonts w:ascii="Cambria Math" w:hAnsi="Cambria Math"/>
                <w:i/>
              </w:rPr>
            </m:ctrlPr>
          </m:sSupPr>
          <m:e>
            <m:r>
              <w:rPr>
                <w:rFonts w:ascii="Cambria Math" w:hAnsi="Cambria Math"/>
              </w:rPr>
              <m:t xml:space="preserve">X</m:t>
            </m:r>
          </m:e>
          <m:sup>
            <m:r>
              <w:rPr>
                <w:rFonts w:ascii="Cambria Math" w:hAnsi="Cambria Math"/>
              </w:rPr>
              <m:t xml:space="preserve">b</m:t>
            </m:r>
          </m:sup>
        </m:sSup>
      </m:oMath>
      <w:r>
        <w:rPr>
          <w:rFonts w:ascii="Times New Roman" w:hAnsi="Times New Roman"/>
          <w:sz w:val="24"/>
          <w:szCs w:val="24"/>
          <w:lang w:val="en-US"/>
        </w:rPr>
        <w:t xml:space="preserve">, where Y and X are the variables of interest, c is a scaling constant and b is the exponent. </w:t>
      </w:r>
      <w:r>
        <w:rPr>
          <w:rFonts w:ascii="Times New Roman" w:hAnsi="Times New Roman" w:eastAsia="Times New Roman"/>
          <w:sz w:val="24"/>
          <w:szCs w:val="24"/>
          <w:lang w:val="en-US"/>
        </w:rPr>
        <w:t xml:space="preserve">The relation is ascribed for the upper tail of the distribution, and it is remarkable that such regularities appear to prevail in different contexts as in city sizes, firm sizes and stock market movements [see Gabaix (2009, 2016) for overviews]. The major challenge is to move further and uncover the underlying generating mechanisms that may eventually be attributed to well delineated economic processes that may involve possible evolutionary dynamics.</w:t>
      </w:r>
    </w:p>
    <w:p>
      <w:pPr>
        <w:pStyle w:val="PargrafodaLista"/>
        <w:spacing w:after="0" w:line="360" w:lineRule="auto"/>
        <w:ind w:left="142" w:firstLine="566"/>
        <w:jc w:val="both"/>
        <w:rPr>
          <w:rFonts w:ascii="Times New Roman" w:hAnsi="Times New Roman"/>
          <w:sz w:val="24"/>
          <w:szCs w:val="24"/>
          <w:lang w:val="en-US"/>
        </w:rPr>
      </w:pPr>
      <w:r>
        <w:rPr>
          <w:rFonts w:ascii="Times New Roman" w:hAnsi="Times New Roman"/>
          <w:sz w:val="24"/>
          <w:szCs w:val="24"/>
          <w:lang w:val="en-US"/>
        </w:rPr>
        <w:t xml:space="preserve">The present paper focuses on different aspects of the firm size distribution in Brazil. A handful of studies on Gibrat’s law or its distributional implications in that context were undertaken by Resende (2004), Esteves (2007), Ribeiro (2007) and Resende and Cardoso (2013). The evidence strongly rejects the prevalence of Gibrat’s law, except for some favorable results for the upper tail of the firm size distribution in one study. However, there is still potential for additional investigations on topics related to the firm size distribution that include power law features. In any case, dynamic aspects involving distributional changes and possible explanatory factors are likely to be relevant, especially in complex and heterogeneous economies. In fact, the relevance of possible long-run distributional shifts is discussed by Cabral and Mata (2003) for the case of a smaller economy like Portugal. The firm size distribution evolves towards a lognormal pattern and the calibration of a theoretical model, that incorporates financial constraints, displayed empirical consistency. Angelini and Generale (2008) further explored the role of financial constraints for the firm size distribution in Italy. Lotti and Santarelli (2004) also investigate firm size distributions in the Italian manufacturing industry. Newly created firms were followed on a quarterly base for six years and nonparametric methods were applied to different sectors. Altogether, the evidence that emerges from the aforementioned studies mostly indicates right skewed firm size distributions. Even though, one observes different convergence patterns of the distributions over time in the latter study while in principle one observes some consistency with the mechanisms addressed in the literature on firm selection and industry evolution appears to prevail. Luttmer (2007) considered the underlying firm-specific heterogeneities and the related implementation with calibration methods favored a limiting firm size distribution that is a particular case of a Pareto distribution, namely the Zipf distribution.</w:t>
      </w:r>
      <w:r>
        <w:rPr>
          <w:rStyle w:val="Refdenotaderodap"/>
          <w:rFonts w:ascii="Times New Roman" w:hAnsi="Times New Roman"/>
          <w:sz w:val="24"/>
          <w:szCs w:val="24"/>
        </w:rPr>
        <w:footnoteReference w:id="2"/>
      </w:r>
    </w:p>
    <w:p>
      <w:pPr>
        <w:pStyle w:val="PargrafodaLista"/>
        <w:spacing w:after="0" w:line="360" w:lineRule="auto"/>
        <w:ind w:left="142" w:firstLine="566"/>
        <w:jc w:val="both"/>
        <w:rPr>
          <w:rFonts w:ascii="Times New Roman" w:hAnsi="Times New Roman"/>
          <w:sz w:val="24"/>
          <w:szCs w:val="24"/>
          <w:lang w:val="en-US"/>
        </w:rPr>
      </w:pPr>
      <w:r>
        <w:rPr>
          <w:rFonts w:ascii="Times New Roman" w:hAnsi="Times New Roman"/>
          <w:sz w:val="24"/>
          <w:szCs w:val="24"/>
          <w:lang w:val="en-US"/>
        </w:rPr>
        <w:t xml:space="preserve">As for dynamic power law aspects it is worth mentioning Fernholz (2017), that proposes nonparametric econometric methods that characterize general power law distributions under basic stability conditions. Although the necessary requirements are not always met in all settings, it indicates that analyses that consider potentially changing distributions that are prone to a power law pattern may be fruitfully conducted. </w:t>
      </w:r>
    </w:p>
    <w:p>
      <w:pPr>
        <w:pStyle w:val="PargrafodaLista"/>
        <w:spacing w:after="0" w:line="360" w:lineRule="auto"/>
        <w:ind w:left="142" w:firstLine="566"/>
        <w:jc w:val="both"/>
        <w:rPr>
          <w:rFonts w:ascii="Times New Roman" w:hAnsi="Times New Roman"/>
          <w:color w:val="020202"/>
          <w:sz w:val="24"/>
          <w:szCs w:val="24"/>
          <w:lang w:val="en-US"/>
        </w:rPr>
      </w:pPr>
      <w:r>
        <w:rPr>
          <w:rFonts w:ascii="Times New Roman" w:hAnsi="Times New Roman"/>
          <w:sz w:val="24"/>
          <w:szCs w:val="24"/>
          <w:lang w:val="en-US"/>
        </w:rPr>
        <w:t xml:space="preserve">Even when power law patterns are detected, the next natural step involves the discussion of possible generating mechanisms. </w:t>
      </w:r>
      <w:r>
        <w:rPr>
          <w:rFonts w:ascii="Times New Roman" w:hAnsi="Times New Roman"/>
          <w:color w:val="020202"/>
          <w:sz w:val="24"/>
          <w:szCs w:val="24"/>
          <w:lang w:val="en-US"/>
        </w:rPr>
        <w:t xml:space="preserve">Kumamoto and </w:t>
      </w:r>
      <w:r>
        <w:rPr>
          <w:rFonts w:ascii="Times New Roman" w:hAnsi="Times New Roman"/>
          <w:sz w:val="24"/>
          <w:szCs w:val="24"/>
          <w:lang w:val="en-US"/>
        </w:rPr>
        <w:t xml:space="preserve">Kamihigashi</w:t>
      </w:r>
      <w:r>
        <w:rPr>
          <w:rFonts w:ascii="Times New Roman" w:hAnsi="Times New Roman"/>
          <w:color w:val="020202"/>
          <w:sz w:val="24"/>
          <w:szCs w:val="24"/>
          <w:lang w:val="en-US"/>
        </w:rPr>
        <w:t xml:space="preserve"> (2018) attempt to map the possible classes of stochastic processes that can be consistent with power law patterns. </w:t>
      </w:r>
      <w:r>
        <w:rPr>
          <w:rFonts w:ascii="Times New Roman" w:hAnsi="Times New Roman"/>
          <w:sz w:val="24"/>
          <w:szCs w:val="24"/>
          <w:lang w:val="en-US"/>
        </w:rPr>
        <w:t xml:space="preserve">Gabaix (2009, 2016) highlights underlying mechanisms associated with random growth, performance aspects related to extreme upper tails of the distribution (“economics of superstars”) and transfer of power laws through aggregation.</w:t>
      </w:r>
      <w:r>
        <w:rPr>
          <w:rStyle w:val="Refdenotaderodap"/>
          <w:rFonts w:ascii="Times New Roman" w:hAnsi="Times New Roman"/>
          <w:sz w:val="24"/>
          <w:szCs w:val="24"/>
          <w:lang w:val="en-US"/>
        </w:rPr>
        <w:footnoteReference w:id="3"/>
      </w:r>
      <w:r>
        <w:rPr>
          <w:rFonts w:ascii="Times New Roman" w:hAnsi="Times New Roman"/>
          <w:color w:val="020202"/>
          <w:sz w:val="24"/>
          <w:szCs w:val="24"/>
          <w:lang w:val="en-US"/>
        </w:rPr>
        <w:t xml:space="preserve"> </w:t>
      </w:r>
    </w:p>
    <w:p>
      <w:pPr>
        <w:pStyle w:val="PargrafodaLista"/>
        <w:spacing w:after="0" w:line="360" w:lineRule="auto"/>
        <w:ind w:left="142" w:firstLine="566"/>
        <w:jc w:val="both"/>
        <w:rPr>
          <w:rFonts w:ascii="Times New Roman" w:hAnsi="Times New Roman"/>
          <w:color w:val="020202"/>
          <w:sz w:val="24"/>
          <w:szCs w:val="24"/>
          <w:lang w:val="en-US"/>
        </w:rPr>
      </w:pPr>
      <w:r>
        <w:rPr>
          <w:rFonts w:ascii="Times New Roman" w:hAnsi="Times New Roman"/>
          <w:sz w:val="24"/>
          <w:szCs w:val="24"/>
          <w:lang w:val="en-US"/>
        </w:rPr>
        <w:t xml:space="preserve">The study of power laws for firm size distribution still warrants further assessments. In the case of Brazil, Da Silva et al. (2018) addressed the prevalence of power laws for firm size, as measured by net revenue shares, in the case of the largest 1000 firms in Brazil in 2015. For that purpose, Pareto and Gumbel exponents were obtained upon the estimation of these assumed laws and the evidence is claimed to properly fit a Pareto law that is roughly consistent with the particular case of a Zipf law.</w:t>
      </w:r>
      <w:r>
        <w:rPr>
          <w:rStyle w:val="Refdenotaderodap"/>
          <w:rFonts w:ascii="Times New Roman" w:hAnsi="Times New Roman"/>
          <w:sz w:val="24"/>
          <w:szCs w:val="24"/>
        </w:rPr>
        <w:footnoteReference w:id="4"/>
      </w:r>
      <w:r>
        <w:rPr>
          <w:rFonts w:ascii="Times New Roman" w:hAnsi="Times New Roman"/>
          <w:sz w:val="24"/>
          <w:szCs w:val="24"/>
          <w:lang w:val="en-US"/>
        </w:rPr>
        <w:t xml:space="preserve"> However, the upfront assumption of a simple power law process is questionable, although one should be less concerned on biases relating to OLS estimations given the large sample size in that particular application.</w:t>
      </w:r>
      <w:r>
        <w:rPr>
          <w:rStyle w:val="Refdenotaderodap"/>
          <w:rFonts w:ascii="Times New Roman" w:hAnsi="Times New Roman"/>
          <w:sz w:val="24"/>
          <w:szCs w:val="24"/>
          <w:lang w:val="en-US"/>
        </w:rPr>
        <w:footnoteReference w:id="5"/>
      </w:r>
      <w:r>
        <w:rPr>
          <w:rFonts w:ascii="Times New Roman" w:hAnsi="Times New Roman"/>
          <w:sz w:val="24"/>
          <w:szCs w:val="24"/>
          <w:lang w:val="en-US"/>
        </w:rPr>
        <w:t xml:space="preserve"> Furthermore, the authors emphasize the role of large firms in the Brazilian economy by which microeconomic shocks could have significant macroeconomic implications.</w:t>
      </w:r>
      <w:r>
        <w:rPr>
          <w:rStyle w:val="Refdenotaderodap"/>
          <w:rFonts w:ascii="Times New Roman" w:hAnsi="Times New Roman"/>
          <w:sz w:val="24"/>
          <w:szCs w:val="24"/>
        </w:rPr>
        <w:footnoteReference w:id="6"/>
      </w:r>
      <w:r>
        <w:rPr>
          <w:rFonts w:ascii="Times New Roman" w:hAnsi="Times New Roman"/>
          <w:sz w:val="24"/>
          <w:szCs w:val="24"/>
          <w:lang w:val="en-US"/>
        </w:rPr>
        <w:t xml:space="preserve"> In fact as power laws relate to the upper portions of the size distribution, the so-called granular aspect may have important policy implications [see Rossi-Hansberg and Wright (2007) and Gabaix (2011)]. </w:t>
      </w:r>
    </w:p>
    <w:p>
      <w:pPr>
        <w:pStyle w:val="PargrafodaLista"/>
        <w:spacing w:after="0" w:line="360" w:lineRule="auto"/>
        <w:ind w:left="142" w:firstLine="566"/>
        <w:jc w:val="both"/>
        <w:rPr>
          <w:rFonts w:ascii="Times New Roman" w:hAnsi="Times New Roman"/>
          <w:sz w:val="24"/>
          <w:szCs w:val="24"/>
          <w:lang w:val="en-US"/>
        </w:rPr>
      </w:pPr>
      <w:r>
        <w:rPr>
          <w:rFonts w:ascii="Times New Roman" w:hAnsi="Times New Roman"/>
          <w:sz w:val="24"/>
          <w:szCs w:val="24"/>
          <w:lang w:val="en-US"/>
        </w:rPr>
        <w:t xml:space="preserve">Finally, it is conceivable that distributional characteristics for firm size may change over a longer time horizon. For example, Rodrik (2016) contends that developing economies could be subject to premature deindustrialization. A related aspect may be associated with the reduction of the diversification of the economy. Hutchinson et al. (2010) find that in the U.K. and Belgium 4-digit industries, inter-industry diversification leads to a shift of the firm size distribution to the right with a stronger effect observed in the case of older age groups. Conversely, the possibility of a less diversified industry in Brazil, for example, could hypothetically lead to changes in power law patterns, if those are relevant. In fact, the relative loss of importance of specific sectors can potentially not only change firm size distributions but possibly the shape parameter of a power law, which typically holds a negative relation with firm size inequality. Such conjecture needs to be empirically addressed.</w:t>
      </w:r>
    </w:p>
    <w:p>
      <w:pPr>
        <w:pStyle w:val="PargrafodaLista"/>
        <w:spacing w:line="360" w:lineRule="auto"/>
        <w:ind w:left="142" w:firstLine="566"/>
        <w:jc w:val="both"/>
        <w:rPr>
          <w:rFonts w:ascii="Times New Roman" w:hAnsi="Times New Roman"/>
        </w:rPr>
      </w:pPr>
      <w:r>
        <w:rPr>
          <w:rFonts w:ascii="Times New Roman" w:hAnsi="Times New Roman"/>
        </w:rPr>
        <w:t xml:space="preserve">The present paper aims at contributing to the literature in aspects:</w:t>
      </w:r>
    </w:p>
    <w:p>
      <w:pPr>
        <w:pStyle w:val="PargrafodaLista"/>
        <w:numPr>
          <w:ilvl w:val="0"/>
          <w:numId w:val="5"/>
        </w:numPr>
        <w:spacing w:line="360" w:lineRule="auto"/>
        <w:ind w:left="714" w:hanging="357"/>
        <w:rPr>
          <w:rFonts w:ascii="Times New Roman" w:hAnsi="Times New Roman"/>
          <w:sz w:val="24"/>
          <w:szCs w:val="24"/>
        </w:rPr>
      </w:pPr>
      <w:r>
        <w:rPr>
          <w:rFonts w:ascii="Times New Roman" w:hAnsi="Times New Roman"/>
          <w:sz w:val="24"/>
          <w:szCs w:val="24"/>
        </w:rPr>
        <w:t xml:space="preserve">Systematic nested testing framework: by not assuming a simpler distribution (e.g., Pareto type I or Zipf) from the start, but rather nesting these models within more general models. In addition to Goerlich’s (2013) LMp and Urzúa’s (2000) LMz tests, we implement the PWL test of Urzúa (2020) which nests the Pareto type I model in the flexible Pareto type IV distribution;</w:t>
      </w:r>
    </w:p>
    <w:p>
      <w:pPr>
        <w:pStyle w:val="PargrafodaLista"/>
        <w:numPr>
          <w:ilvl w:val="0"/>
          <w:numId w:val="5"/>
        </w:numPr>
        <w:spacing w:line="360" w:lineRule="auto"/>
        <w:ind w:left="714" w:hanging="357"/>
        <w:rPr>
          <w:rFonts w:ascii="Times New Roman" w:hAnsi="Times New Roman"/>
          <w:sz w:val="24"/>
          <w:szCs w:val="24"/>
        </w:rPr>
      </w:pPr>
      <w:r>
        <w:rPr>
          <w:rFonts w:ascii="Times New Roman" w:hAnsi="Times New Roman"/>
          <w:sz w:val="24"/>
          <w:szCs w:val="24"/>
        </w:rPr>
        <w:t xml:space="preserve">Consideration of a large and heterogeneous emerging economy over a long time span (1999–2024). Brazil is likely to be prone to heterogeneous shocks of different natures and larger firms may benefit from spatial and sector-level advantages that are unavailable for smaller firms;</w:t>
      </w:r>
    </w:p>
    <w:p>
      <w:pPr>
        <w:pStyle w:val="PargrafodaLista"/>
        <w:numPr>
          <w:ilvl w:val="0"/>
          <w:numId w:val="5"/>
        </w:numPr>
        <w:spacing w:line="360" w:lineRule="auto"/>
        <w:ind w:left="714" w:hanging="357"/>
        <w:rPr>
          <w:rFonts w:ascii="Times New Roman" w:hAnsi="Times New Roman" w:cs="Times New Roman"/>
          <w:sz w:val="24"/>
          <w:szCs w:val="24"/>
        </w:rPr>
      </w:pPr>
      <w:r>
        <w:rPr>
          <w:rFonts w:ascii="Times New Roman" w:hAnsi="Times New Roman" w:cs="Times New Roman"/>
          <w:sz w:val="24"/>
          <w:szCs w:val="24"/>
        </w:rPr>
        <w:t xml:space="preserve">Structural break analysis: by conducting a time-series analysis of the tail exponents, which identifies a statistically significant downward structural break in 2010, coinciding with the commodity-boom period and signaling rising revenue concentration among superstar firms.</w:t>
      </w:r>
    </w:p>
    <w:p>
      <w:pPr>
        <w:pStyle w:val="PargrafodaLista"/>
        <w:spacing w:line="360" w:lineRule="auto"/>
        <w:ind w:left="142" w:firstLine="566"/>
        <w:jc w:val="both"/>
        <w:rPr>
          <w:rFonts w:ascii="Times New Roman" w:hAnsi="Times New Roman"/>
          <w:sz w:val="24"/>
          <w:szCs w:val="24"/>
        </w:rPr>
      </w:pPr>
      <w:r>
        <w:rPr>
          <w:rFonts w:ascii="Times New Roman" w:hAnsi="Times New Roman"/>
          <w:sz w:val="24"/>
          <w:szCs w:val="24"/>
          <w:lang w:val="en-US"/>
        </w:rPr>
        <w:t xml:space="preserve">The remainder of the paper is organized as follows. The second section discusses basic conceptual aspects related to power law testing. The third section discusses the data and the obtained empirical results for the particular empirical application. </w:t>
      </w:r>
      <w:r>
        <w:rPr>
          <w:rFonts w:ascii="Times New Roman" w:hAnsi="Times New Roman"/>
          <w:sz w:val="24"/>
          <w:szCs w:val="24"/>
        </w:rPr>
        <w:t xml:space="preserve">The fourth section concludes.</w:t>
      </w:r>
    </w:p>
    <w:p>
      <w:pPr>
        <w:pStyle w:val="PargrafodaLista"/>
        <w:numPr>
          <w:ilvl w:val="0"/>
          <w:numId w:val="1"/>
        </w:numPr>
        <w:spacing w:line="360" w:lineRule="auto"/>
        <w:ind w:left="0" w:firstLine="0"/>
        <w:rPr>
          <w:rFonts w:ascii="Times New Roman" w:hAnsi="Times New Roman"/>
          <w:b/>
          <w:sz w:val="24"/>
          <w:szCs w:val="24"/>
          <w:lang w:val="en-US"/>
        </w:rPr>
      </w:pPr>
      <w:r>
        <w:rPr>
          <w:rFonts w:ascii="Times New Roman" w:hAnsi="Times New Roman"/>
          <w:b/>
          <w:sz w:val="24"/>
          <w:szCs w:val="24"/>
          <w:lang w:val="en-US"/>
        </w:rPr>
        <w:t xml:space="preserve">Power laws and firm size distributions: empirical aspects</w:t>
      </w:r>
    </w:p>
    <w:p>
      <w:pPr>
        <w:pStyle w:val="PargrafodaLista"/>
        <w:spacing w:line="360" w:lineRule="auto"/>
        <w:ind w:left="0"/>
        <w:rPr>
          <w:rFonts w:ascii="Times New Roman" w:hAnsi="Times New Roman"/>
          <w:sz w:val="24"/>
          <w:szCs w:val="24"/>
        </w:rPr>
      </w:pPr>
      <w:r>
        <w:rPr>
          <w:rFonts w:ascii="Times New Roman" w:hAnsi="Times New Roman"/>
          <w:sz w:val="24"/>
          <w:szCs w:val="24"/>
        </w:rPr>
        <w:t xml:space="preserve">2.1 – Basic conceptual aspects</w:t>
      </w:r>
    </w:p>
    <w:p>
      <w:pPr>
        <w:pStyle w:val="PargrafodaLista"/>
        <w:spacing w:line="360" w:lineRule="auto"/>
        <w:ind w:left="142" w:firstLine="566"/>
        <w:jc w:val="both"/>
        <w:rPr>
          <w:rFonts w:ascii="Times New Roman" w:hAnsi="Times New Roman"/>
          <w:sz w:val="24"/>
          <w:szCs w:val="24"/>
          <w:lang w:val="en-US"/>
        </w:rPr>
      </w:pPr>
      <w:r>
        <w:rPr>
          <w:rFonts w:ascii="Times New Roman" w:hAnsi="Times New Roman"/>
          <w:sz w:val="24"/>
          <w:szCs w:val="24"/>
          <w:lang w:val="en-US"/>
        </w:rPr>
        <w:t xml:space="preserve">An influential power law emerges in the literature pertaining to the Pareto distribution that can be traced back to Pareto (1897) in the context of the assessment of income distribution. Useful overviews can be found in Johnson and Kotz (1970, </w:t>
      </w:r>
      <w:r>
        <w:rPr>
          <w:rFonts w:ascii="Times New Roman" w:hAnsi="Times New Roman"/>
          <w:color w:val="131413"/>
          <w:sz w:val="24"/>
          <w:szCs w:val="24"/>
          <w:lang w:val="en-US"/>
        </w:rPr>
        <w:t xml:space="preserve">Chap. 19)</w:t>
      </w:r>
      <w:r>
        <w:rPr>
          <w:rFonts w:ascii="Times New Roman" w:hAnsi="Times New Roman"/>
          <w:sz w:val="24"/>
          <w:szCs w:val="24"/>
          <w:lang w:val="en-US"/>
        </w:rPr>
        <w:t xml:space="preserve">. Specifically, the so-called Pareto type I distribution relates to a strictly positive continuous random variable </w:t>
      </w:r>
      <m:oMath>
        <m:r>
          <w:rPr>
            <w:rFonts w:ascii="Cambria Math" w:hAnsi="Cambria Math"/>
            <w:sz w:val="24"/>
            <w:szCs w:val="24"/>
          </w:rPr>
          <m:t>x</m:t>
        </m:r>
      </m:oMath>
      <w:r>
        <w:rPr>
          <w:rFonts w:ascii="Times New Roman" w:hAnsi="Times New Roman"/>
          <w:sz w:val="24"/>
          <w:szCs w:val="24"/>
          <w:lang w:val="en-US"/>
        </w:rPr>
        <w:t xml:space="preserve"> ∈ </w:t>
      </w:r>
      <w:r>
        <w:rPr>
          <w:rFonts w:ascii="Cambria Math" w:hAnsi="Cambria Math" w:eastAsia="Times New Roman" w:cs="Cambria Math"/>
          <w:color w:val="2F75B5"/>
          <w:sz w:val="24"/>
          <w:szCs w:val="24"/>
        </w:rPr>
        <w:t xml:space="preserve">ℜ</w:t>
      </w:r>
      <w:r>
        <w:rPr>
          <w:rFonts w:ascii="Times New Roman" w:hAnsi="Times New Roman" w:eastAsia="Times New Roman"/>
          <w:sz w:val="24"/>
          <w:szCs w:val="24"/>
          <w:vertAlign w:val="subscript"/>
          <w:lang w:val="en-US"/>
        </w:rPr>
        <w:t xml:space="preserve">++</w:t>
      </w:r>
      <w:r>
        <w:rPr>
          <w:rFonts w:ascii="Times New Roman" w:hAnsi="Times New Roman"/>
          <w:sz w:val="24"/>
          <w:szCs w:val="24"/>
          <w:lang w:val="en-US"/>
        </w:rPr>
        <w:t xml:space="preserve">  </w:t>
      </w:r>
      <w:r>
        <w:rPr>
          <w:rFonts w:ascii="Times New Roman" w:hAnsi="Times New Roman" w:eastAsia="Times New Roman"/>
          <w:sz w:val="24"/>
          <w:szCs w:val="24"/>
          <w:lang w:val="en-US"/>
        </w:rPr>
        <w:t xml:space="preserve">with p</w:t>
      </w:r>
      <w:r>
        <w:rPr>
          <w:rFonts w:ascii="Times New Roman" w:hAnsi="Times New Roman"/>
          <w:sz w:val="24"/>
          <w:szCs w:val="24"/>
          <w:lang w:val="en-US"/>
        </w:rPr>
        <w:t xml:space="preserve">robability density function (pdf) given by: </w:t>
      </w:r>
    </w:p>
    <w:p>
      <w:pPr>
        <w:pStyle w:val="PargrafodaLista"/>
        <w:spacing w:line="360" w:lineRule="auto"/>
        <w:ind w:left="0"/>
        <w:jc w:val="center"/>
        <w:rPr>
          <w:rFonts w:ascii="Times New Roman" w:hAnsi="Times New Roman"/>
          <w:sz w:val="24"/>
          <w:szCs w:val="24"/>
          <w:lang w:val="en-US"/>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p</m:t>
            </m:r>
          </m:sub>
        </m:sSub>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lang w:val="en-US"/>
          </w:rPr>
          <m:t>=</m:t>
        </m:r>
        <m:f>
          <m:fPr>
            <m:ctrlPr>
              <w:rPr>
                <w:rFonts w:ascii="Cambria Math" w:hAnsi="Cambria Math"/>
                <w:i/>
                <w:sz w:val="24"/>
                <w:szCs w:val="24"/>
              </w:rPr>
            </m:ctrlPr>
          </m:fPr>
          <m:num>
            <m:r>
              <w:rPr>
                <w:rFonts w:ascii="Cambria Math" w:hAnsi="Cambria Math"/>
                <w:color w:val="2F75B5"/>
                <w:sz w:val="24"/>
                <w:szCs w:val="24"/>
              </w:rPr>
              <m:t>α</m:t>
            </m:r>
          </m:num>
          <m:den>
            <m:r>
              <w:rPr>
                <w:rFonts w:ascii="Cambria Math" w:hAnsi="Cambria Math"/>
                <w:sz w:val="24"/>
                <w:szCs w:val="24"/>
              </w:rPr>
              <m:t>μ</m:t>
            </m:r>
          </m:den>
        </m:f>
        <m:sSup>
          <m:sSupPr>
            <m:ctrlPr>
              <w:rPr>
                <w:rFonts w:ascii="Cambria Math" w:hAnsi="Cambria Math"/>
                <w:i/>
                <w:sz w:val="24"/>
                <w:szCs w:val="24"/>
              </w:rPr>
            </m:ctrlPr>
          </m:sSupPr>
          <m:e>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μ</m:t>
                    </m:r>
                  </m:num>
                  <m:den>
                    <m:r>
                      <w:rPr>
                        <w:rFonts w:ascii="Cambria Math" w:hAnsi="Cambria Math"/>
                        <w:sz w:val="24"/>
                        <w:szCs w:val="24"/>
                      </w:rPr>
                      <m:t>x</m:t>
                    </m:r>
                  </m:den>
                </m:f>
              </m:e>
            </m:d>
          </m:e>
          <m:sup>
            <m:r>
              <w:rPr>
                <w:rFonts w:ascii="Cambria Math" w:hAnsi="Cambria Math"/>
                <w:color w:val="2F75B5"/>
                <w:sz w:val="24"/>
                <w:szCs w:val="24"/>
              </w:rPr>
              <m:t>α</m:t>
            </m:r>
            <m:r>
              <w:rPr>
                <w:rFonts w:ascii="Cambria Math" w:hAnsi="Cambria Math"/>
                <w:sz w:val="24"/>
                <w:szCs w:val="24"/>
                <w:lang w:val="en-US"/>
              </w:rPr>
              <m:t>+1</m:t>
            </m:r>
          </m:sup>
        </m:sSup>
      </m:oMath>
      <w:r>
        <w:rPr>
          <w:rFonts w:ascii="Times New Roman" w:hAnsi="Times New Roman" w:eastAsia="Times New Roman"/>
          <w:sz w:val="24"/>
          <w:szCs w:val="24"/>
          <w:lang w:val="en-US"/>
        </w:rPr>
        <w:t xml:space="preserve">       </w:t>
      </w:r>
      <m:oMath>
        <m:r>
          <w:rPr>
            <w:rFonts w:ascii="Cambria Math" w:hAnsi="Cambria Math"/>
            <w:sz w:val="24"/>
            <w:szCs w:val="24"/>
          </w:rPr>
          <m:t xml:space="preserve">x≥μ&gt;0, </m:t>
        </m:r>
        <m:r>
          <w:rPr>
            <w:rFonts w:ascii="Cambria Math" w:hAnsi="Cambria Math"/>
            <w:color w:val="2F75B5"/>
            <w:sz w:val="24"/>
            <w:szCs w:val="24"/>
          </w:rPr>
          <m:t>α</m:t>
        </m:r>
        <m:r>
          <w:rPr>
            <w:rFonts w:ascii="Cambria Math" w:hAnsi="Cambria Math"/>
            <w:sz w:val="24"/>
            <w:szCs w:val="24"/>
          </w:rPr>
          <m:t xml:space="preserve"> &gt; 0</m:t>
        </m:r>
      </m:oMath>
      <w:r>
        <w:rPr>
          <w:rFonts w:ascii="Times New Roman" w:hAnsi="Times New Roman" w:eastAsia="Times New Roman"/>
          <w:sz w:val="24"/>
          <w:szCs w:val="24"/>
          <w:lang w:val="en-US"/>
        </w:rPr>
        <w:t xml:space="preserve">                     (1)</w:t>
      </w:r>
    </w:p>
    <w:p>
      <w:pPr>
        <w:pStyle w:val="PargrafodaLista"/>
        <w:spacing w:line="360" w:lineRule="auto"/>
        <w:ind w:left="142" w:firstLine="566"/>
        <w:jc w:val="both"/>
        <w:rPr>
          <w:rFonts w:ascii="Times New Roman" w:hAnsi="Times New Roman"/>
          <w:sz w:val="24"/>
          <w:szCs w:val="24"/>
          <w:lang w:val="en-US"/>
        </w:rPr>
      </w:pPr>
      <w:r>
        <w:rPr>
          <w:rFonts w:ascii="Times New Roman" w:hAnsi="Times New Roman"/>
          <w:sz w:val="24"/>
          <w:szCs w:val="24"/>
          <w:lang w:val="en-US"/>
        </w:rPr>
        <w:t xml:space="preserve">where </w:t>
      </w:r>
      <w:r>
        <w:rPr>
          <w:rFonts w:ascii="Times New Roman" w:hAnsi="Times New Roman" w:eastAsia="Symbol"/>
          <w:color w:val="2F75B5"/>
          <w:sz w:val="24"/>
          <w:szCs w:val="24"/>
        </w:rPr>
        <w:t xml:space="preserve">μ</w:t>
      </w:r>
      <w:r>
        <w:rPr>
          <w:rFonts w:ascii="Times New Roman" w:hAnsi="Times New Roman"/>
          <w:sz w:val="24"/>
          <w:szCs w:val="24"/>
          <w:lang w:val="en-US"/>
        </w:rPr>
        <w:t xml:space="preserve"> stands for the location parameter and corresponds to the minimum value of </w:t>
      </w:r>
      <m:oMath>
        <m:r>
          <w:rPr>
            <w:rFonts w:ascii="Cambria Math" w:hAnsi="Cambria Math"/>
            <w:sz w:val="24"/>
            <w:szCs w:val="24"/>
          </w:rPr>
          <m:t>x</m:t>
        </m:r>
      </m:oMath>
      <w:r>
        <w:rPr>
          <w:rFonts w:ascii="Times New Roman" w:hAnsi="Times New Roman"/>
          <w:sz w:val="24"/>
          <w:szCs w:val="24"/>
          <w:lang w:val="en-US"/>
        </w:rPr>
        <w:t xml:space="preserve"> that indicates where the so-called “heavy tail” starts and can be intuitively, though not directly, associated with concepts of </w:t>
      </w:r>
      <w:r>
        <w:rPr>
          <w:rFonts w:ascii="Times New Roman" w:hAnsi="Times New Roman"/>
          <w:sz w:val="24"/>
          <w:szCs w:val="24"/>
        </w:rPr>
        <w:t xml:space="preserve">minimum scale of operation</w:t>
      </w:r>
      <w:r>
        <w:rPr>
          <w:rFonts w:ascii="Times New Roman" w:hAnsi="Times New Roman"/>
          <w:sz w:val="24"/>
          <w:szCs w:val="24"/>
          <w:lang w:val="en-US"/>
        </w:rPr>
        <w:t xml:space="preserve">, whereas α indicates the shape parameter that constitutes the main parameter of interest and is often known as the Pareto exponent and indicates </w:t>
      </w:r>
      <w:r>
        <w:rPr>
          <w:rFonts w:ascii="Times New Roman" w:hAnsi="Times New Roman"/>
          <w:sz w:val="24"/>
          <w:szCs w:val="24"/>
        </w:rPr>
        <w:t xml:space="preserve">how concentrated firm size is among very large firms.</w:t>
      </w:r>
      <w:r>
        <w:rPr>
          <w:rFonts w:ascii="Times New Roman" w:hAnsi="Times New Roman"/>
          <w:sz w:val="24"/>
          <w:szCs w:val="24"/>
          <w:lang w:val="en-US"/>
        </w:rPr>
        <w:t xml:space="preserve"> A salient feature relates to dispersion measures holding an inverse relation with the shape parameter α. In particular, </w:t>
      </w:r>
      <w:r>
        <w:rPr>
          <w:rFonts w:ascii="Times New Roman" w:hAnsi="Times New Roman"/>
          <w:color w:val="131413"/>
          <w:sz w:val="24"/>
          <w:szCs w:val="24"/>
          <w:lang w:val="en-US"/>
        </w:rPr>
        <w:t xml:space="preserve">the coefficient of variation is given by </w:t>
      </w:r>
      <m:oMath>
        <m:r>
          <w:rPr>
            <w:rFonts w:ascii="Cambria Math" w:hAnsi="Cambria Math"/>
            <w:color w:val="131413"/>
            <w:sz w:val="24"/>
            <w:szCs w:val="24"/>
          </w:rPr>
          <m:t>CV</m:t>
        </m:r>
        <m:d>
          <m:dPr>
            <m:ctrlPr>
              <w:rPr>
                <w:rFonts w:ascii="Cambria Math" w:hAnsi="Cambria Math"/>
                <w:i/>
                <w:color w:val="131413"/>
                <w:sz w:val="24"/>
                <w:szCs w:val="24"/>
              </w:rPr>
            </m:ctrlPr>
          </m:dPr>
          <m:e>
            <m:r>
              <w:rPr>
                <w:rFonts w:ascii="Cambria Math" w:hAnsi="Cambria Math"/>
                <w:color w:val="131413"/>
                <w:sz w:val="24"/>
                <w:szCs w:val="24"/>
              </w:rPr>
              <m:t>X</m:t>
            </m:r>
          </m:e>
        </m:d>
        <m:r>
          <w:rPr>
            <w:rFonts w:ascii="Cambria Math" w:hAnsi="Cambria Math"/>
            <w:color w:val="131413"/>
            <w:sz w:val="24"/>
            <w:szCs w:val="24"/>
            <w:lang w:val="en-US"/>
          </w:rPr>
          <m:t>=1/</m:t>
        </m:r>
        <m:rad>
          <m:radPr>
            <m:degHide m:val="1"/>
            <m:ctrlPr>
              <w:rPr>
                <w:rFonts w:ascii="Cambria Math" w:hAnsi="Cambria Math"/>
                <w:i/>
                <w:color w:val="131413"/>
                <w:sz w:val="24"/>
                <w:szCs w:val="24"/>
              </w:rPr>
            </m:ctrlPr>
          </m:radPr>
          <m:deg/>
          <m:e>
            <m:r>
              <w:rPr>
                <w:rFonts w:ascii="Cambria Math" w:hAnsi="Cambria Math"/>
                <w:color w:val="2F75B5"/>
                <w:sz w:val="24"/>
                <w:szCs w:val="24"/>
              </w:rPr>
              <m:t>α</m:t>
            </m:r>
            <m:r>
              <w:rPr>
                <w:rFonts w:ascii="Cambria Math" w:hAnsi="Cambria Math"/>
                <w:color w:val="131413"/>
                <w:sz w:val="24"/>
                <w:szCs w:val="24"/>
                <w:lang w:val="en-US"/>
              </w:rPr>
              <m:t>(</m:t>
            </m:r>
            <m:r>
              <w:rPr>
                <w:rFonts w:ascii="Cambria Math" w:hAnsi="Cambria Math"/>
                <w:color w:val="2F75B5"/>
                <w:sz w:val="24"/>
                <w:szCs w:val="24"/>
              </w:rPr>
              <m:t>α</m:t>
            </m:r>
            <m:r>
              <w:rPr>
                <w:rFonts w:ascii="Cambria Math" w:hAnsi="Cambria Math"/>
                <w:color w:val="131413"/>
                <w:sz w:val="24"/>
                <w:szCs w:val="24"/>
                <w:lang w:val="en-US"/>
              </w:rPr>
              <m:t>-2)</m:t>
            </m:r>
          </m:e>
        </m:rad>
      </m:oMath>
      <w:r>
        <w:rPr>
          <w:rFonts w:ascii="Times New Roman" w:hAnsi="Times New Roman" w:eastAsia="Times New Roman"/>
          <w:color w:val="131413"/>
          <w:sz w:val="24"/>
          <w:szCs w:val="24"/>
          <w:lang w:val="en-US"/>
        </w:rPr>
        <w:t xml:space="preserve"> for α &gt; 2</w:t>
      </w:r>
      <w:r>
        <w:rPr>
          <w:rFonts w:ascii="Times New Roman" w:hAnsi="Times New Roman"/>
          <w:sz w:val="24"/>
          <w:szCs w:val="24"/>
          <w:lang w:val="en-US"/>
        </w:rPr>
        <w:t xml:space="preserve">, where the sole dependence on the shape parameter reflects a relative character.</w:t>
      </w:r>
    </w:p>
    <w:p>
      <w:pPr>
        <w:pStyle w:val="PargrafodaLista"/>
        <w:spacing w:line="360" w:lineRule="auto"/>
        <w:ind w:left="142" w:firstLine="566"/>
        <w:jc w:val="both"/>
        <w:rPr>
          <w:rFonts w:ascii="Times New Roman" w:hAnsi="Times New Roman"/>
          <w:sz w:val="24"/>
          <w:szCs w:val="24"/>
          <w:lang w:val="en-US"/>
        </w:rPr>
      </w:pPr>
      <w:r>
        <w:rPr>
          <w:rFonts w:ascii="Times New Roman" w:hAnsi="Times New Roman"/>
          <w:sz w:val="24"/>
          <w:szCs w:val="24"/>
          <w:lang w:val="en-US"/>
        </w:rPr>
        <w:t xml:space="preserve">A fruitful research strategy for testing power laws is to consider more general probability distributions that nest the Pareto type I. Goerlich (2013) suggests the consideration of a more general case given by a member of the Burr (1942) family of distributions [see Johnson and Kotz (1970), chap. 12.4.5 for an overview], also known as a Pareto type II distribution [see Arnold (2015)]. That more general distribution is characterized by the following </w:t>
      </w:r>
      <w:r>
        <w:rPr>
          <w:rFonts w:ascii="Times New Roman" w:hAnsi="Times New Roman" w:eastAsia="Times New Roman"/>
          <w:sz w:val="24"/>
          <w:szCs w:val="24"/>
          <w:lang w:val="en-US"/>
        </w:rPr>
        <w:t xml:space="preserve">p</w:t>
      </w:r>
      <w:r>
        <w:rPr>
          <w:rFonts w:ascii="Times New Roman" w:hAnsi="Times New Roman"/>
          <w:sz w:val="24"/>
          <w:szCs w:val="24"/>
          <w:lang w:val="en-US"/>
        </w:rPr>
        <w:t xml:space="preserve">robability density function (pdf) given by:</w:t>
      </w:r>
    </w:p>
    <w:p>
      <w:pPr>
        <w:pStyle w:val="PargrafodaLista"/>
        <w:spacing w:line="360" w:lineRule="auto"/>
        <w:ind w:left="0"/>
        <w:jc w:val="center"/>
        <w:rPr>
          <w:rFonts w:ascii="Times New Roman" w:hAnsi="Times New Roman"/>
          <w:sz w:val="24"/>
          <w:szCs w:val="24"/>
          <w:lang w:val="en-US"/>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B</m:t>
            </m:r>
          </m:sub>
        </m:sSub>
        <m:r>
          <w:rPr>
            <w:rFonts w:ascii="Cambria Math" w:hAnsi="Cambria Math"/>
            <w:sz w:val="24"/>
            <w:szCs w:val="24"/>
            <w:lang w:val="en-US"/>
          </w:rPr>
          <m:t>=</m:t>
        </m:r>
        <m:f>
          <m:fPr>
            <m:ctrlPr>
              <w:rPr>
                <w:rFonts w:ascii="Cambria Math" w:hAnsi="Cambria Math"/>
                <w:i/>
                <w:sz w:val="24"/>
                <w:szCs w:val="24"/>
              </w:rPr>
            </m:ctrlPr>
          </m:fPr>
          <m:num>
            <m:r>
              <w:rPr>
                <w:rFonts w:ascii="Cambria Math" w:hAnsi="Cambria Math"/>
                <w:color w:val="2F75B5"/>
                <w:sz w:val="24"/>
                <w:szCs w:val="24"/>
              </w:rPr>
              <m:t>α</m:t>
            </m:r>
          </m:num>
          <m:den>
            <m:r>
              <w:rPr>
                <w:rFonts w:ascii="Cambria Math" w:hAnsi="Cambria Math"/>
                <w:sz w:val="24"/>
                <w:szCs w:val="24"/>
              </w:rPr>
              <m:t>σ</m:t>
            </m:r>
          </m:den>
        </m:f>
        <m:sSup>
          <m:sSupPr>
            <m:ctrlPr>
              <w:rPr>
                <w:rFonts w:ascii="Cambria Math" w:hAnsi="Cambria Math"/>
                <w:i/>
                <w:sz w:val="24"/>
                <w:szCs w:val="24"/>
              </w:rPr>
            </m:ctrlPr>
          </m:sSupPr>
          <m:e>
            <m:r>
              <w:rPr>
                <w:rFonts w:ascii="Cambria Math" w:hAnsi="Cambria Math"/>
                <w:sz w:val="24"/>
                <w:szCs w:val="24"/>
                <w:lang w:val="en-US"/>
              </w:rPr>
              <m:t>(1+</m:t>
            </m:r>
            <m:f>
              <m:fPr>
                <m:ctrlPr>
                  <w:rPr>
                    <w:rFonts w:ascii="Cambria Math" w:hAnsi="Cambria Math"/>
                    <w:i/>
                    <w:sz w:val="24"/>
                    <w:szCs w:val="24"/>
                  </w:rPr>
                </m:ctrlPr>
              </m:fPr>
              <m:num>
                <m:r>
                  <w:rPr>
                    <w:rFonts w:ascii="Cambria Math" w:hAnsi="Cambria Math"/>
                    <w:sz w:val="24"/>
                    <w:szCs w:val="24"/>
                  </w:rPr>
                  <m:t>x</m:t>
                </m:r>
                <m:r>
                  <w:rPr>
                    <w:rFonts w:ascii="Cambria Math" w:hAnsi="Cambria Math"/>
                    <w:sz w:val="24"/>
                    <w:szCs w:val="24"/>
                    <w:lang w:val="en-US"/>
                  </w:rPr>
                  <m:t>-</m:t>
                </m:r>
                <m:r>
                  <w:rPr>
                    <w:rFonts w:ascii="Cambria Math" w:hAnsi="Cambria Math"/>
                    <w:sz w:val="24"/>
                    <w:szCs w:val="24"/>
                  </w:rPr>
                  <m:t>μ</m:t>
                </m:r>
              </m:num>
              <m:den>
                <m:r>
                  <w:rPr>
                    <w:rFonts w:ascii="Cambria Math" w:hAnsi="Cambria Math"/>
                    <w:sz w:val="24"/>
                    <w:szCs w:val="24"/>
                  </w:rPr>
                  <m:t>σ</m:t>
                </m:r>
              </m:den>
            </m:f>
            <m:r>
              <w:rPr>
                <w:rFonts w:ascii="Cambria Math" w:hAnsi="Cambria Math"/>
                <w:sz w:val="24"/>
                <w:szCs w:val="24"/>
                <w:lang w:val="en-US"/>
              </w:rPr>
              <m:t>)</m:t>
            </m:r>
          </m:e>
          <m:sup>
            <m:r>
              <w:rPr>
                <w:rFonts w:ascii="Cambria Math" w:hAnsi="Cambria Math"/>
                <w:sz w:val="24"/>
                <w:szCs w:val="24"/>
                <w:lang w:val="en-US"/>
              </w:rPr>
              <m:t>-(</m:t>
            </m:r>
            <m:r>
              <w:rPr>
                <w:rFonts w:ascii="Cambria Math" w:hAnsi="Cambria Math"/>
                <w:color w:val="2F75B5"/>
                <w:sz w:val="24"/>
                <w:szCs w:val="24"/>
              </w:rPr>
              <m:t>α</m:t>
            </m:r>
            <m:r>
              <w:rPr>
                <w:rFonts w:ascii="Cambria Math" w:hAnsi="Cambria Math"/>
                <w:sz w:val="24"/>
                <w:szCs w:val="24"/>
                <w:lang w:val="en-US"/>
              </w:rPr>
              <m:t>+1)</m:t>
            </m:r>
          </m:sup>
        </m:sSup>
        <m:r>
          <w:rPr>
            <w:rFonts w:ascii="Cambria Math" w:eastAsia="Times New Roman" w:hAnsi="Cambria Math"/>
            <w:sz w:val="24"/>
            <w:szCs w:val="24"/>
            <w:lang w:val="en-US"/>
          </w:rPr>
          <m:t xml:space="preserve"> </m:t>
        </m:r>
      </m:oMath>
      <w:r>
        <w:rPr>
          <w:rFonts w:ascii="Times New Roman" w:hAnsi="Times New Roman" w:eastAsia="Times New Roman"/>
          <w:sz w:val="24"/>
          <w:szCs w:val="24"/>
          <w:lang w:val="en-US"/>
        </w:rPr>
        <w:t xml:space="preserve">        </w:t>
      </w:r>
      <m:oMath>
        <m:r>
          <w:rPr>
            <w:rFonts w:ascii="Cambria Math" w:eastAsia="Times New Roman" w:hAnsi="Cambria Math"/>
            <w:sz w:val="24"/>
            <w:szCs w:val="24"/>
          </w:rPr>
          <m:t>x</m:t>
        </m:r>
        <m:r>
          <w:rPr>
            <w:rFonts w:ascii="Cambria Math" w:eastAsia="Times New Roman" w:hAnsi="Cambria Math"/>
            <w:sz w:val="24"/>
            <w:szCs w:val="24"/>
            <w:lang w:val="en-US"/>
          </w:rPr>
          <m:t>≥</m:t>
        </m:r>
        <m:r>
          <w:rPr>
            <w:rFonts w:ascii="Cambria Math" w:eastAsia="Times New Roman" w:hAnsi="Cambria Math"/>
            <w:sz w:val="24"/>
            <w:szCs w:val="24"/>
          </w:rPr>
          <m:t>μ</m:t>
        </m:r>
        <m:r>
          <w:rPr>
            <w:rFonts w:ascii="Cambria Math" w:eastAsia="Times New Roman" w:hAnsi="Cambria Math"/>
            <w:sz w:val="24"/>
            <w:szCs w:val="24"/>
            <w:lang w:val="en-US"/>
          </w:rPr>
          <m:t xml:space="preserve">&gt;0, </m:t>
        </m:r>
        <m:r>
          <w:rPr>
            <w:rFonts w:ascii="Cambria Math" w:eastAsia="Times New Roman" w:hAnsi="Cambria Math"/>
            <w:color w:val="2F75B5"/>
            <w:sz w:val="24"/>
            <w:szCs w:val="24"/>
          </w:rPr>
          <m:t>α</m:t>
        </m:r>
        <m:r>
          <w:rPr>
            <w:rFonts w:ascii="Cambria Math" w:eastAsia="Times New Roman" w:hAnsi="Cambria Math"/>
            <w:sz w:val="24"/>
            <w:szCs w:val="24"/>
            <w:lang w:val="en-US"/>
          </w:rPr>
          <m:t xml:space="preserve">&gt;0, </m:t>
        </m:r>
        <m:r>
          <w:rPr>
            <w:rFonts w:ascii="Cambria Math" w:eastAsia="Times New Roman" w:hAnsi="Cambria Math"/>
            <w:sz w:val="24"/>
            <w:szCs w:val="24"/>
          </w:rPr>
          <m:t>σ</m:t>
        </m:r>
        <m:r>
          <w:rPr>
            <w:rFonts w:ascii="Cambria Math" w:eastAsia="Times New Roman" w:hAnsi="Cambria Math"/>
            <w:sz w:val="24"/>
            <w:szCs w:val="24"/>
            <w:lang w:val="en-US"/>
          </w:rPr>
          <m:t>&gt;0</m:t>
        </m:r>
      </m:oMath>
      <w:r>
        <w:rPr>
          <w:rFonts w:ascii="Times New Roman" w:hAnsi="Times New Roman" w:eastAsia="Times New Roman"/>
          <w:sz w:val="24"/>
          <w:szCs w:val="24"/>
          <w:lang w:val="en-US"/>
        </w:rPr>
        <w:t xml:space="preserve">      (2)</w:t>
      </w:r>
    </w:p>
    <w:p>
      <w:pPr>
        <w:pStyle w:val="PargrafodaLista"/>
        <w:spacing w:line="360" w:lineRule="auto"/>
        <w:ind w:left="142" w:firstLine="566"/>
        <w:jc w:val="both"/>
        <w:rPr>
          <w:rFonts w:ascii="Times New Roman" w:hAnsi="Times New Roman"/>
          <w:sz w:val="24"/>
          <w:szCs w:val="24"/>
          <w:lang w:val="en-US"/>
        </w:rPr>
      </w:pPr>
      <w:r>
        <w:rPr>
          <w:rFonts w:ascii="Times New Roman" w:hAnsi="Times New Roman"/>
          <w:sz w:val="24"/>
          <w:szCs w:val="24"/>
          <w:lang w:val="en-US"/>
        </w:rPr>
        <w:t xml:space="preserve">In contrast with the simpler Pareto type I distribution, one introduces a location parameter μ and a scale parameter σ &gt; 0, so that the lower bound is set by μ rather than being tied to the scale. In economic terms, σ controls the scale of the distribution independently of the degree of the heaviness of the upper tail.</w:t>
      </w:r>
    </w:p>
    <w:p>
      <w:pPr>
        <w:pStyle w:val="PargrafodaLista"/>
        <w:spacing w:line="360" w:lineRule="auto"/>
        <w:ind w:left="142" w:firstLine="566"/>
        <w:jc w:val="both"/>
        <w:rPr>
          <w:rFonts w:ascii="Times New Roman" w:hAnsi="Times New Roman"/>
          <w:sz w:val="24"/>
          <w:szCs w:val="24"/>
          <w:lang w:val="en-US"/>
        </w:rPr>
      </w:pPr>
      <w:r>
        <w:rPr>
          <w:rFonts w:ascii="Times New Roman" w:hAnsi="Times New Roman"/>
          <w:sz w:val="24"/>
          <w:szCs w:val="24"/>
          <w:lang w:val="en-US"/>
        </w:rPr>
        <w:t xml:space="preserve">Equation (2) nests Pareto type I when σ = μ and Zipf’s law when σ = μ and α = 1. For α &gt; 2, the variance is </w:t>
      </w:r>
      <m:oMath>
        <m:func>
          <m:funcPr>
            <m:ctrlPr>
              <w:rPr>
                <w:rFonts w:ascii="Cambria Math" w:hAnsi="Cambria Math"/>
                <w:i/>
              </w:rPr>
            </m:ctrlPr>
          </m:funcPr>
          <m:fName>
            <m:r>
              <m:rPr>
                <m:sty m:val="p"/>
              </m:rPr>
              <w:rPr>
                <w:rFonts w:ascii="Cambria Math" w:hAnsi="Cambria Math"/>
              </w:rPr>
              <m:t xml:space="preserve">Var</m:t>
            </m:r>
          </m:fName>
          <m:e>
            <m:r>
              <w:rPr>
                <w:rFonts w:ascii="Cambria Math" w:hAnsi="Cambria Math"/>
              </w:rPr>
              <m:t xml:space="preserve">(</m:t>
            </m:r>
          </m:e>
        </m:func>
        <m:r>
          <w:rPr>
            <w:rFonts w:ascii="Cambria Math" w:hAnsi="Cambria Math"/>
          </w:rPr>
          <m:t xml:space="preserve">X)=</m:t>
        </m:r>
        <m:f>
          <m:fPr>
            <m:ctrlPr>
              <w:rPr>
                <w:rFonts w:ascii="Cambria Math" w:hAnsi="Cambria Math"/>
                <w:i/>
              </w:rPr>
            </m:ctrlPr>
          </m:fPr>
          <m:num>
            <m:sSup>
              <m:sSupPr>
                <m:ctrlPr>
                  <w:rPr>
                    <w:rFonts w:ascii="Cambria Math" w:hAnsi="Cambria Math"/>
                    <w:i/>
                  </w:rPr>
                </m:ctrlPr>
              </m:sSupPr>
              <m:e>
                <m:r>
                  <w:rPr>
                    <w:rFonts w:ascii="Cambria Math" w:hAnsi="Cambria Math"/>
                  </w:rPr>
                  <m:t xml:space="preserve">σ</m:t>
                </m:r>
              </m:e>
              <m:sup>
                <m:r>
                  <w:rPr>
                    <w:rFonts w:ascii="Cambria Math" w:hAnsi="Cambria Math"/>
                  </w:rPr>
                  <m:t xml:space="preserve">2</m:t>
                </m:r>
              </m:sup>
            </m:sSup>
            <m:r>
              <w:rPr>
                <w:rFonts w:ascii="Cambria Math" w:hAnsi="Cambria Math"/>
              </w:rPr>
              <m:t xml:space="preserve">α</m:t>
            </m:r>
          </m:num>
          <m:den>
            <m:r>
              <w:rPr>
                <w:rFonts w:ascii="Cambria Math" w:hAnsi="Cambria Math"/>
              </w:rPr>
              <m:t xml:space="preserve">(α-1</m:t>
            </m:r>
            <m:sSup>
              <m:sSupPr>
                <m:ctrlPr>
                  <w:rPr>
                    <w:rFonts w:ascii="Cambria Math" w:hAnsi="Cambria Math"/>
                    <w:i/>
                  </w:rPr>
                </m:ctrlPr>
              </m:sSupPr>
              <m:e>
                <m:r>
                  <w:rPr>
                    <w:rFonts w:ascii="Cambria Math" w:hAnsi="Cambria Math"/>
                  </w:rPr>
                  <m:t xml:space="preserve">)</m:t>
                </m:r>
              </m:e>
              <m:sup>
                <m:r>
                  <w:rPr>
                    <w:rFonts w:ascii="Cambria Math" w:hAnsi="Cambria Math"/>
                  </w:rPr>
                  <m:t xml:space="preserve">2</m:t>
                </m:r>
              </m:sup>
            </m:sSup>
            <m:r>
              <w:rPr>
                <w:rFonts w:ascii="Cambria Math" w:hAnsi="Cambria Math"/>
              </w:rPr>
              <m:t xml:space="preserve">(α-2)</m:t>
            </m:r>
          </m:den>
        </m:f>
      </m:oMath>
      <w:r>
        <w:rPr>
          <w:rFonts w:ascii="Times New Roman" w:hAnsi="Times New Roman"/>
          <w:sz w:val="24"/>
          <w:szCs w:val="24"/>
          <w:lang w:val="en-US"/>
        </w:rPr>
        <w:t xml:space="preserve">, and the coefficient of variation is:</w:t>
      </w:r>
    </w:p>
    <w:p>
      <w:pPr>
        <w:pStyle w:val="PargrafodaLista"/>
        <w:spacing w:before="0" w:after="80" w:line="360" w:lineRule="auto"/>
        <w:ind w:leftChars="0" w:left="0" w:firstLineChars="0" w:firstLine="0"/>
        <w:jc w:val="center"/>
        <w:rPr>
          <w:rFonts w:ascii="Times New Roman" w:hAnsi="Times New Roman"/>
          <w:sz w:val="24"/>
          <w:szCs w:val="24"/>
          <w:lang w:val="en-US"/>
        </w:rPr>
      </w:pPr>
      <m:oMathPara>
        <m:oMath>
          <m:r>
            <w:rPr>
              <w:rFonts w:ascii="Cambria Math" w:hAnsi="Cambria Math"/>
            </w:rPr>
            <m:t xml:space="preserve">CV(X)=</m:t>
          </m:r>
          <m:f>
            <m:fPr>
              <m:ctrlPr>
                <w:rPr>
                  <w:rFonts w:ascii="Cambria Math" w:hAnsi="Cambria Math"/>
                  <w:i/>
                </w:rPr>
              </m:ctrlPr>
            </m:fPr>
            <m:num>
              <m:r>
                <w:rPr>
                  <w:rFonts w:ascii="Cambria Math" w:hAnsi="Cambria Math"/>
                </w:rPr>
                <m:t xml:space="preserve">σ</m:t>
              </m:r>
            </m:num>
            <m:den>
              <m:r>
                <w:rPr>
                  <w:rFonts w:ascii="Cambria Math" w:hAnsi="Cambria Math"/>
                </w:rPr>
                <m:t xml:space="preserve">σ+(α-1)μ</m:t>
              </m:r>
            </m:den>
          </m:f>
          <m:rad>
            <m:radPr>
              <m:degHide m:val="1"/>
              <m:ctrlPr>
                <w:rPr>
                  <w:rFonts w:ascii="Cambria Math" w:hAnsi="Cambria Math"/>
                  <w:i/>
                </w:rPr>
              </m:ctrlPr>
            </m:radPr>
            <m:deg/>
            <m:e>
              <m:f>
                <m:fPr>
                  <m:ctrlPr>
                    <w:rPr>
                      <w:rFonts w:ascii="Cambria Math" w:hAnsi="Cambria Math"/>
                      <w:i/>
                    </w:rPr>
                  </m:ctrlPr>
                </m:fPr>
                <m:num>
                  <m:r>
                    <w:rPr>
                      <w:rFonts w:ascii="Cambria Math" w:hAnsi="Cambria Math"/>
                    </w:rPr>
                    <m:t xml:space="preserve">α</m:t>
                  </m:r>
                </m:num>
                <m:den>
                  <m:r>
                    <w:rPr>
                      <w:rFonts w:ascii="Cambria Math" w:hAnsi="Cambria Math"/>
                    </w:rPr>
                    <m:t xml:space="preserve">α-2</m:t>
                  </m:r>
                </m:den>
              </m:f>
            </m:e>
          </m:rad>
          <m:r>
            <w:rPr>
              <w:rFonts w:ascii="Cambria Math" w:hAnsi="Cambria Math"/>
            </w:rPr>
            <m:t xml:space="preserve">,  α&gt;2.</m:t>
          </m:r>
        </m:oMath>
      </m:oMathPara>
    </w:p>
    <w:p>
      <w:pPr>
        <w:pStyle w:val="PargrafodaLista"/>
        <w:spacing w:line="360" w:lineRule="auto"/>
        <w:ind w:left="142" w:firstLine="566"/>
        <w:jc w:val="both"/>
        <w:rPr>
          <w:rFonts w:ascii="Times New Roman" w:hAnsi="Times New Roman"/>
          <w:sz w:val="24"/>
          <w:szCs w:val="24"/>
          <w:lang w:val="en-US"/>
        </w:rPr>
      </w:pPr>
      <w:r>
        <w:rPr>
          <w:rFonts w:ascii="Times New Roman" w:hAnsi="Times New Roman"/>
          <w:sz w:val="24"/>
          <w:szCs w:val="24"/>
          <w:lang w:val="en-US"/>
        </w:rPr>
        <w:t xml:space="preserve">Thus, for a fixed positive μ, the coefficient of variation depends on σ as well as α. The expression </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 xml:space="preserve">α</m:t>
                </m:r>
              </m:num>
              <m:den>
                <m:r>
                  <w:rPr>
                    <w:rFonts w:ascii="Cambria Math" w:hAnsi="Cambria Math"/>
                  </w:rPr>
                  <m:t xml:space="preserve">α-2</m:t>
                </m:r>
              </m:den>
            </m:f>
          </m:e>
        </m:rad>
      </m:oMath>
      <w:r>
        <w:rPr>
          <w:rFonts w:ascii="Times New Roman" w:hAnsi="Times New Roman"/>
          <w:sz w:val="24"/>
          <w:szCs w:val="24"/>
          <w:lang w:val="en-US"/>
        </w:rPr>
        <w:t xml:space="preserve"> applies only in the zero-location special case μ = 0.</w:t>
      </w:r>
    </w:p>
    <w:p>
      <w:pPr>
        <w:pStyle w:val="PargrafodaLista"/>
        <w:spacing w:line="360" w:lineRule="auto"/>
        <w:ind w:left="142" w:firstLine="566"/>
        <w:jc w:val="both"/>
        <w:rPr>
          <w:rFonts w:ascii="Times New Roman" w:hAnsi="Times New Roman" w:eastAsia="Times New Roman"/>
          <w:color w:val="131413"/>
          <w:sz w:val="24"/>
          <w:szCs w:val="24"/>
          <w:lang w:val="en-US"/>
        </w:rPr>
      </w:pPr>
      <w:r>
        <w:rPr>
          <w:rFonts w:ascii="Times New Roman" w:hAnsi="Times New Roman" w:eastAsia="Times New Roman"/>
          <w:color w:val="131413"/>
          <w:sz w:val="24"/>
          <w:szCs w:val="24"/>
          <w:lang w:val="en-US"/>
        </w:rPr>
        <w:t xml:space="preserve">Goerlich (2013) proposes to test the null hypothesis of H</w:t>
      </w:r>
      <w:r>
        <w:rPr>
          <w:rFonts w:ascii="Times New Roman" w:hAnsi="Times New Roman" w:eastAsia="Times New Roman"/>
          <w:color w:val="131413"/>
          <w:sz w:val="24"/>
          <w:szCs w:val="24"/>
          <w:vertAlign w:val="subscript"/>
          <w:lang w:val="en-US"/>
        </w:rPr>
        <w:t xml:space="preserve">0</w:t>
      </w:r>
      <w:r>
        <w:rPr>
          <w:rFonts w:ascii="Times New Roman" w:hAnsi="Times New Roman" w:eastAsia="Times New Roman"/>
          <w:color w:val="131413"/>
          <w:sz w:val="24"/>
          <w:szCs w:val="24"/>
          <w:lang w:val="en-US"/>
        </w:rPr>
        <w:t xml:space="preserve">: </w:t>
      </w:r>
      <m:oMath>
        <m:r>
          <w:rPr>
            <w:rFonts w:ascii="Cambria Math" w:eastAsia="Times New Roman" w:hAnsi="Cambria Math"/>
            <w:color w:val="131413"/>
            <w:sz w:val="24"/>
            <w:szCs w:val="24"/>
          </w:rPr>
          <m:t>σ</m:t>
        </m:r>
        <m:r>
          <w:rPr>
            <w:rFonts w:ascii="Cambria Math" w:eastAsia="Times New Roman" w:hAnsi="Cambria Math"/>
            <w:color w:val="131413"/>
            <w:sz w:val="24"/>
            <w:szCs w:val="24"/>
            <w:lang w:val="en-US"/>
          </w:rPr>
          <m:t>=</m:t>
        </m:r>
        <m:r>
          <w:rPr>
            <w:rFonts w:ascii="Cambria Math" w:eastAsia="Times New Roman" w:hAnsi="Cambria Math"/>
            <w:color w:val="131413"/>
            <w:sz w:val="24"/>
            <w:szCs w:val="24"/>
          </w:rPr>
          <m:t>μ</m:t>
        </m:r>
      </m:oMath>
      <w:r>
        <w:rPr>
          <w:rFonts w:ascii="Times New Roman" w:hAnsi="Times New Roman" w:eastAsia="Times New Roman"/>
          <w:color w:val="131413"/>
          <w:sz w:val="24"/>
          <w:szCs w:val="24"/>
          <w:lang w:val="en-US"/>
        </w:rPr>
        <w:t xml:space="preserve"> in (2) by means of a Lagrange multiplier (LM) test that requires only the maximum likelihood estimation of the restricted model, the Pareto type I case. Thus proceeding, one can obtain the following expression:</w:t>
      </w:r>
    </w:p>
    <w:p>
      <w:pPr>
        <w:pStyle w:val="PargrafodaLista"/>
        <w:spacing w:line="360" w:lineRule="auto"/>
        <w:ind w:left="0"/>
        <w:jc w:val="center"/>
        <w:rPr>
          <w:rFonts w:ascii="Times New Roman" w:hAnsi="Times New Roman" w:eastAsia="Times New Roman"/>
          <w:sz w:val="24"/>
          <w:szCs w:val="24"/>
          <w:lang w:val="en-US"/>
        </w:rPr>
      </w:pPr>
      <m:oMath>
        <m:sSub>
          <m:sSubPr>
            <m:ctrlPr>
              <w:rPr>
                <w:rFonts w:ascii="Cambria Math" w:hAnsi="Cambria Math"/>
                <w:i/>
                <w:sz w:val="24"/>
                <w:szCs w:val="24"/>
              </w:rPr>
            </m:ctrlPr>
          </m:sSubPr>
          <m:e>
            <m:r>
              <w:rPr>
                <w:rFonts w:ascii="Cambria Math" w:hAnsi="Cambria Math"/>
                <w:sz w:val="24"/>
                <w:szCs w:val="24"/>
              </w:rPr>
              <m:t>LM</m:t>
            </m:r>
          </m:e>
          <m:sub>
            <m:r>
              <w:rPr>
                <w:rFonts w:ascii="Cambria Math" w:hAnsi="Cambria Math"/>
                <w:sz w:val="24"/>
                <w:szCs w:val="24"/>
              </w:rPr>
              <m:t>P</m:t>
            </m:r>
          </m:sub>
        </m:sSub>
        <m:r>
          <w:rPr>
            <w:rFonts w:ascii="Cambria Math" w:hAnsi="Cambria Math"/>
            <w:sz w:val="24"/>
            <w:szCs w:val="24"/>
            <w:lang w:val="en-US"/>
          </w:rPr>
          <m:t>=</m:t>
        </m:r>
        <m:r>
          <w:rPr>
            <w:rFonts w:ascii="Cambria Math" w:hAnsi="Cambria Math"/>
            <w:sz w:val="24"/>
            <w:szCs w:val="24"/>
          </w:rPr>
          <m:t>n</m:t>
        </m:r>
        <m:f>
          <m:fPr>
            <m:ctrlPr>
              <w:rPr>
                <w:rFonts w:ascii="Cambria Math" w:hAnsi="Cambria Math"/>
                <w:i/>
                <w:sz w:val="24"/>
                <w:szCs w:val="24"/>
              </w:rPr>
            </m:ctrlPr>
          </m:fPr>
          <m:num>
            <m:d>
              <m:dPr>
                <m:ctrlPr>
                  <w:rPr>
                    <w:rFonts w:ascii="Cambria Math" w:hAnsi="Cambria Math"/>
                    <w:i/>
                    <w:sz w:val="24"/>
                    <w:szCs w:val="24"/>
                  </w:rPr>
                </m:ctrlPr>
              </m:dPr>
              <m:e>
                <m:acc>
                  <m:accPr>
                    <m:chr m:val="̃"/>
                    <m:ctrlPr>
                      <w:rPr>
                        <w:rFonts w:ascii="Cambria Math" w:hAnsi="Cambria Math"/>
                        <w:i/>
                        <w:sz w:val="24"/>
                        <w:szCs w:val="24"/>
                      </w:rPr>
                    </m:ctrlPr>
                  </m:accPr>
                  <m:e>
                    <m:r>
                      <w:rPr>
                        <w:rFonts w:ascii="Cambria Math" w:hAnsi="Cambria Math"/>
                        <w:color w:val="2F75B5"/>
                        <w:sz w:val="24"/>
                        <w:szCs w:val="24"/>
                      </w:rPr>
                      <m:t>α</m:t>
                    </m:r>
                  </m:e>
                </m:acc>
                <m:r>
                  <w:rPr>
                    <w:rFonts w:ascii="Cambria Math" w:hAnsi="Cambria Math"/>
                    <w:sz w:val="24"/>
                    <w:szCs w:val="24"/>
                    <w:lang w:val="en-US"/>
                  </w:rPr>
                  <m:t>+2</m:t>
                </m:r>
              </m:e>
            </m:d>
            <m:sSup>
              <m:sSupPr>
                <m:ctrlPr>
                  <w:rPr>
                    <w:rFonts w:ascii="Cambria Math" w:hAnsi="Cambria Math"/>
                    <w:i/>
                    <w:sz w:val="24"/>
                    <w:szCs w:val="24"/>
                  </w:rPr>
                </m:ctrlPr>
              </m:sSupPr>
              <m:e>
                <m:d>
                  <m:dPr>
                    <m:ctrlPr>
                      <w:rPr>
                        <w:rFonts w:ascii="Cambria Math" w:hAnsi="Cambria Math"/>
                        <w:i/>
                        <w:sz w:val="24"/>
                        <w:szCs w:val="24"/>
                      </w:rPr>
                    </m:ctrlPr>
                  </m:dPr>
                  <m:e>
                    <m:acc>
                      <m:accPr>
                        <m:chr m:val="̃"/>
                        <m:ctrlPr>
                          <w:rPr>
                            <w:rFonts w:ascii="Cambria Math" w:hAnsi="Cambria Math"/>
                            <w:i/>
                            <w:sz w:val="24"/>
                            <w:szCs w:val="24"/>
                          </w:rPr>
                        </m:ctrlPr>
                      </m:accPr>
                      <m:e>
                        <m:r>
                          <w:rPr>
                            <w:rFonts w:ascii="Cambria Math" w:hAnsi="Cambria Math"/>
                            <w:color w:val="2F75B5"/>
                            <w:sz w:val="24"/>
                            <w:szCs w:val="24"/>
                          </w:rPr>
                          <m:t>α</m:t>
                        </m:r>
                      </m:e>
                    </m:acc>
                    <m:r>
                      <w:rPr>
                        <w:rFonts w:ascii="Cambria Math" w:hAnsi="Cambria Math"/>
                        <w:sz w:val="24"/>
                        <w:szCs w:val="24"/>
                        <w:lang w:val="en-US"/>
                      </w:rPr>
                      <m:t>+1</m:t>
                    </m:r>
                  </m:e>
                </m:d>
              </m:e>
              <m:sup>
                <m:r>
                  <w:rPr>
                    <w:rFonts w:ascii="Cambria Math" w:hAnsi="Cambria Math"/>
                    <w:sz w:val="24"/>
                    <w:szCs w:val="24"/>
                    <w:lang w:val="en-US"/>
                  </w:rPr>
                  <m:t>4</m:t>
                </m:r>
              </m:sup>
            </m:sSup>
          </m:num>
          <m:den>
            <m:acc>
              <m:accPr>
                <m:chr m:val="̃"/>
                <m:ctrlPr>
                  <w:rPr>
                    <w:rFonts w:ascii="Cambria Math" w:hAnsi="Cambria Math"/>
                    <w:i/>
                    <w:sz w:val="24"/>
                    <w:szCs w:val="24"/>
                  </w:rPr>
                </m:ctrlPr>
              </m:accPr>
              <m:e>
                <m:r>
                  <w:rPr>
                    <w:rFonts w:ascii="Cambria Math" w:hAnsi="Cambria Math"/>
                    <w:color w:val="2F75B5"/>
                    <w:sz w:val="24"/>
                    <w:szCs w:val="24"/>
                  </w:rPr>
                  <m:t>α</m:t>
                </m:r>
              </m:e>
            </m:acc>
          </m:den>
        </m:f>
        <m:sSup>
          <m:sSupPr>
            <m:ctrlPr>
              <w:rPr>
                <w:rFonts w:ascii="Cambria Math" w:hAnsi="Cambria Math"/>
                <w:i/>
                <w:sz w:val="24"/>
                <w:szCs w:val="24"/>
              </w:rPr>
            </m:ctrlPr>
          </m:sSupPr>
          <m:e>
            <m:acc>
              <m:accPr>
                <m:chr m:val="̃"/>
                <m:ctrlPr>
                  <w:rPr>
                    <w:rFonts w:ascii="Cambria Math" w:hAnsi="Cambria Math"/>
                    <w:i/>
                    <w:sz w:val="24"/>
                    <w:szCs w:val="24"/>
                  </w:rPr>
                </m:ctrlPr>
              </m:accPr>
              <m:e>
                <m:r>
                  <w:rPr>
                    <w:rFonts w:ascii="Cambria Math" w:hAnsi="Cambria Math"/>
                    <w:sz w:val="24"/>
                    <w:szCs w:val="24"/>
                  </w:rPr>
                  <m:t>z</m:t>
                </m:r>
              </m:e>
            </m:acc>
          </m:e>
          <m:sup>
            <m:r>
              <w:rPr>
                <w:rFonts w:ascii="Cambria Math" w:hAnsi="Cambria Math"/>
                <w:sz w:val="24"/>
                <w:szCs w:val="24"/>
                <w:lang w:val="en-US"/>
              </w:rPr>
              <m:t>2</m:t>
            </m:r>
          </m:sup>
        </m:sSup>
        <m:sSub>
          <m:sSubPr>
            <m:ctrlPr>
              <w:rPr>
                <w:rFonts w:ascii="Cambria Math" w:hAnsi="Cambria Math"/>
                <w:i/>
                <w:sz w:val="24"/>
                <w:szCs w:val="24"/>
              </w:rPr>
            </m:ctrlPr>
          </m:sSubPr>
          <m:e>
            <m:r>
              <w:rPr>
                <w:rFonts w:ascii="Cambria Math" w:hAnsi="Cambria Math"/>
                <w:sz w:val="24"/>
                <w:szCs w:val="24"/>
                <w:lang w:val="en-US"/>
              </w:rPr>
              <m:t>~</m:t>
            </m:r>
          </m:e>
          <m:sub>
            <m:r>
              <w:rPr>
                <w:rFonts w:ascii="Cambria Math" w:hAnsi="Cambria Math"/>
                <w:sz w:val="24"/>
                <w:szCs w:val="24"/>
              </w:rPr>
              <m:t>asy</m:t>
            </m:r>
          </m:sub>
        </m:sSub>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color w:val="2F75B5"/>
                <w:sz w:val="24"/>
                <w:szCs w:val="24"/>
              </w:rPr>
              <m:t>χ</m:t>
            </m:r>
          </m:e>
          <m:sup>
            <m:r>
              <w:rPr>
                <w:rFonts w:ascii="Cambria Math" w:hAnsi="Cambria Math"/>
                <w:sz w:val="24"/>
                <w:szCs w:val="24"/>
              </w:rPr>
              <m:t>2</m:t>
            </m:r>
          </m:sup>
        </m:sSup>
        <m:r>
          <w:rPr>
            <w:rFonts w:ascii="Cambria Math" w:hAnsi="Cambria Math"/>
            <w:sz w:val="24"/>
            <w:szCs w:val="24"/>
            <w:lang w:val="en-US"/>
          </w:rPr>
          <m:t>(1)</m:t>
        </m:r>
      </m:oMath>
      <w:r>
        <w:rPr>
          <w:rFonts w:ascii="Times New Roman" w:hAnsi="Times New Roman" w:eastAsia="Times New Roman"/>
          <w:sz w:val="24"/>
          <w:szCs w:val="24"/>
          <w:lang w:val="en-US"/>
        </w:rPr>
        <w:t xml:space="preserve"> </w:t>
      </w:r>
      <m:oMath>
        <m:r>
          <w:rPr>
            <w:rFonts w:ascii="Cambria Math" w:eastAsia="Times New Roman" w:hAnsi="Cambria Math"/>
            <w:sz w:val="24"/>
            <w:szCs w:val="24"/>
          </w:rPr>
          <m:t>under</m:t>
        </m:r>
        <m:r>
          <w:rPr>
            <w:rFonts w:ascii="Cambria Math" w:eastAsia="Times New Roman" w:hAnsi="Cambria Math"/>
            <w:sz w:val="24"/>
            <w:szCs w:val="24"/>
            <w:lang w:val="en-US"/>
          </w:rPr>
          <m:t xml:space="preserve"> </m:t>
        </m:r>
        <m:sSub>
          <m:sSubPr>
            <m:ctrlPr>
              <w:rPr>
                <w:rFonts w:ascii="Cambria Math" w:eastAsia="Times New Roman" w:hAnsi="Cambria Math"/>
                <w:i/>
                <w:sz w:val="24"/>
                <w:szCs w:val="24"/>
              </w:rPr>
            </m:ctrlPr>
          </m:sSubPr>
          <m:e>
            <m:r>
              <w:rPr>
                <w:rFonts w:ascii="Cambria Math" w:eastAsia="Times New Roman" w:hAnsi="Cambria Math"/>
                <w:sz w:val="24"/>
                <w:szCs w:val="24"/>
              </w:rPr>
              <m:t>H</m:t>
            </m:r>
          </m:e>
          <m:sub>
            <m:r>
              <w:rPr>
                <w:rFonts w:ascii="Cambria Math" w:eastAsia="Times New Roman" w:hAnsi="Cambria Math"/>
                <w:sz w:val="24"/>
                <w:szCs w:val="24"/>
                <w:lang w:val="en-US"/>
              </w:rPr>
              <m:t>0</m:t>
            </m:r>
          </m:sub>
        </m:sSub>
        <m:r>
          <w:rPr>
            <w:rFonts w:ascii="Cambria Math" w:eastAsia="Times New Roman" w:hAnsi="Cambria Math"/>
            <w:sz w:val="24"/>
            <w:szCs w:val="24"/>
            <w:lang w:val="en-US"/>
          </w:rPr>
          <m:t>:</m:t>
        </m:r>
        <m:r>
          <w:rPr>
            <w:rFonts w:ascii="Cambria Math" w:eastAsia="Times New Roman" w:hAnsi="Cambria Math"/>
            <w:sz w:val="24"/>
            <w:szCs w:val="24"/>
          </w:rPr>
          <m:t>σ</m:t>
        </m:r>
        <m:r>
          <w:rPr>
            <w:rFonts w:ascii="Cambria Math" w:eastAsia="Times New Roman" w:hAnsi="Cambria Math"/>
            <w:sz w:val="24"/>
            <w:szCs w:val="24"/>
            <w:lang w:val="en-US"/>
          </w:rPr>
          <m:t>=</m:t>
        </m:r>
        <m:r>
          <w:rPr>
            <w:rFonts w:ascii="Cambria Math" w:eastAsia="Times New Roman" w:hAnsi="Cambria Math"/>
            <w:sz w:val="24"/>
            <w:szCs w:val="24"/>
          </w:rPr>
          <m:t>μ</m:t>
        </m:r>
      </m:oMath>
      <w:r>
        <w:rPr>
          <w:rFonts w:ascii="Times New Roman" w:hAnsi="Times New Roman" w:eastAsia="Times New Roman"/>
          <w:sz w:val="24"/>
          <w:szCs w:val="24"/>
          <w:lang w:val="en-US"/>
        </w:rPr>
        <w:t xml:space="preserve">                (3)</w:t>
      </w:r>
    </w:p>
    <w:p>
      <w:pPr>
        <w:pStyle w:val="PargrafodaLista"/>
        <w:spacing w:line="360" w:lineRule="auto"/>
        <w:ind w:left="142" w:firstLine="566"/>
        <w:jc w:val="both"/>
        <w:rPr>
          <w:rFonts w:ascii="Times New Roman" w:hAnsi="Times New Roman"/>
          <w:sz w:val="24"/>
          <w:szCs w:val="24"/>
          <w:lang w:val="en-US"/>
        </w:rPr>
      </w:pPr>
      <w:r>
        <w:rPr>
          <w:rFonts w:ascii="Times New Roman" w:hAnsi="Times New Roman" w:eastAsia="Times New Roman"/>
          <w:sz w:val="24"/>
          <w:szCs w:val="24"/>
          <w:lang w:val="en-US"/>
        </w:rPr>
        <w:t xml:space="preserve">where </w:t>
      </w:r>
      <m:oMath>
        <m:acc>
          <m:accPr>
            <m:chr m:val="̃"/>
            <m:ctrlPr>
              <w:rPr>
                <w:rFonts w:ascii="Cambria Math" w:eastAsia="Times New Roman" w:hAnsi="Cambria Math"/>
                <w:i/>
                <w:sz w:val="24"/>
                <w:szCs w:val="24"/>
              </w:rPr>
            </m:ctrlPr>
          </m:accPr>
          <m:e>
            <m:r>
              <w:rPr>
                <w:rFonts w:ascii="Cambria Math" w:eastAsia="Times New Roman" w:hAnsi="Cambria Math"/>
                <w:sz w:val="24"/>
                <w:szCs w:val="24"/>
              </w:rPr>
              <m:t>z</m:t>
            </m:r>
          </m:e>
        </m:acc>
        <m:r>
          <w:rPr>
            <w:rFonts w:ascii="Cambria Math" w:eastAsia="Times New Roman" w:hAnsi="Cambria Math"/>
            <w:sz w:val="24"/>
            <w:szCs w:val="24"/>
            <w:lang w:val="en-US"/>
          </w:rPr>
          <m:t>=</m:t>
        </m:r>
        <m:f>
          <m:fPr>
            <m:ctrlPr>
              <w:rPr>
                <w:rFonts w:ascii="Cambria Math" w:hAnsi="Cambria Math"/>
                <w:i/>
                <w:sz w:val="24"/>
                <w:szCs w:val="24"/>
              </w:rPr>
            </m:ctrlPr>
          </m:fPr>
          <m:num>
            <m:acc>
              <m:accPr>
                <m:chr m:val="̃"/>
                <m:ctrlPr>
                  <w:rPr>
                    <w:rFonts w:ascii="Cambria Math" w:hAnsi="Cambria Math"/>
                    <w:i/>
                    <w:sz w:val="24"/>
                    <w:szCs w:val="24"/>
                  </w:rPr>
                </m:ctrlPr>
              </m:accPr>
              <m:e>
                <m:r>
                  <w:rPr>
                    <w:rFonts w:ascii="Cambria Math" w:hAnsi="Cambria Math"/>
                    <w:color w:val="2F75B5"/>
                    <w:sz w:val="24"/>
                    <w:szCs w:val="24"/>
                  </w:rPr>
                  <m:t>α</m:t>
                </m:r>
              </m:e>
            </m:acc>
          </m:num>
          <m:den>
            <m:acc>
              <m:accPr>
                <m:chr m:val="̃"/>
                <m:ctrlPr>
                  <w:rPr>
                    <w:rFonts w:ascii="Cambria Math" w:hAnsi="Cambria Math"/>
                    <w:i/>
                    <w:sz w:val="24"/>
                    <w:szCs w:val="24"/>
                  </w:rPr>
                </m:ctrlPr>
              </m:accPr>
              <m:e>
                <m:r>
                  <w:rPr>
                    <w:rFonts w:ascii="Cambria Math" w:hAnsi="Cambria Math"/>
                    <w:color w:val="2F75B5"/>
                    <w:sz w:val="24"/>
                    <w:szCs w:val="24"/>
                  </w:rPr>
                  <m:t>α</m:t>
                </m:r>
              </m:e>
            </m:acc>
            <m:r>
              <w:rPr>
                <w:rFonts w:ascii="Cambria Math" w:hAnsi="Cambria Math"/>
                <w:sz w:val="24"/>
                <w:szCs w:val="24"/>
                <w:lang w:val="en-US"/>
              </w:rPr>
              <m:t>+1</m:t>
            </m:r>
          </m:den>
        </m:f>
        <m:r>
          <w:rPr>
            <w:rFonts w:ascii="Cambria Math" w:hAnsi="Cambria Math"/>
            <w:sz w:val="24"/>
            <w:szCs w:val="24"/>
            <w:lang w:val="en-US"/>
          </w:rPr>
          <m:t>-</m:t>
        </m:r>
        <m:f>
          <m:fPr>
            <m:ctrlPr>
              <w:rPr>
                <w:rFonts w:ascii="Cambria Math" w:hAnsi="Cambria Math"/>
                <w:i/>
                <w:sz w:val="24"/>
                <w:szCs w:val="24"/>
              </w:rPr>
            </m:ctrlPr>
          </m:fPr>
          <m:num>
            <m:r>
              <w:rPr>
                <w:rFonts w:ascii="Cambria Math" w:hAnsi="Cambria Math"/>
                <w:sz w:val="24"/>
                <w:szCs w:val="24"/>
                <w:lang w:val="en-US"/>
              </w:rPr>
              <m:t>1</m:t>
            </m:r>
          </m:num>
          <m:den>
            <m:r>
              <w:rPr>
                <w:rFonts w:ascii="Cambria Math" w:hAnsi="Cambria Math"/>
                <w:sz w:val="24"/>
                <w:szCs w:val="24"/>
              </w:rPr>
              <m:t>n</m:t>
            </m:r>
          </m:den>
        </m:f>
        <m:nary>
          <m:naryPr>
            <m:chr m:val="∑"/>
            <m:limLoc m:val="undOvr"/>
            <m:ctrlPr>
              <w:rPr>
                <w:rFonts w:ascii="Cambria Math" w:hAnsi="Cambria Math"/>
                <w:i/>
                <w:sz w:val="24"/>
                <w:szCs w:val="24"/>
              </w:rPr>
            </m:ctrlPr>
          </m:naryPr>
          <m:sub>
            <m:r>
              <w:rPr>
                <w:rFonts w:ascii="Cambria Math" w:hAnsi="Cambria Math"/>
                <w:sz w:val="24"/>
                <w:szCs w:val="24"/>
              </w:rPr>
              <m:t>i</m:t>
            </m:r>
            <m:r>
              <w:rPr>
                <w:rFonts w:ascii="Cambria Math" w:hAnsi="Cambria Math"/>
                <w:sz w:val="24"/>
                <w:szCs w:val="24"/>
                <w:lang w:val="en-US"/>
              </w:rPr>
              <m:t>=1</m:t>
            </m:r>
          </m:sub>
          <m:sup>
            <m:r>
              <w:rPr>
                <w:rFonts w:ascii="Cambria Math" w:hAnsi="Cambria Math"/>
                <w:sz w:val="24"/>
                <w:szCs w:val="24"/>
              </w:rPr>
              <m:t>n</m:t>
            </m:r>
          </m:sup>
          <m:e>
            <m:f>
              <m:fPr>
                <m:ctrlPr>
                  <w:rPr>
                    <w:rFonts w:ascii="Cambria Math" w:hAnsi="Cambria Math"/>
                    <w:i/>
                    <w:sz w:val="24"/>
                    <w:szCs w:val="24"/>
                  </w:rPr>
                </m:ctrlPr>
              </m:fPr>
              <m:num>
                <m:r>
                  <w:rPr>
                    <w:rFonts w:ascii="Cambria Math" w:hAnsi="Cambria Math"/>
                    <w:sz w:val="24"/>
                    <w:szCs w:val="24"/>
                  </w:rPr>
                  <m:t>μ</m:t>
                </m:r>
              </m:num>
              <m:den>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den>
            </m:f>
          </m:e>
        </m:nary>
      </m:oMath>
      <w:r>
        <w:rPr>
          <w:rFonts w:ascii="Times New Roman" w:hAnsi="Times New Roman" w:eastAsia="Times New Roman"/>
          <w:sz w:val="24"/>
          <w:szCs w:val="24"/>
          <w:lang w:val="en-US"/>
        </w:rPr>
        <w:t xml:space="preserve">  with </w:t>
      </w:r>
      <m:oMath>
        <m:acc>
          <m:accPr>
            <m:chr m:val="̃"/>
            <m:ctrlPr>
              <w:rPr>
                <w:rFonts w:ascii="Cambria Math" w:eastAsia="Times New Roman" w:hAnsi="Cambria Math"/>
                <w:i/>
                <w:sz w:val="24"/>
                <w:szCs w:val="24"/>
              </w:rPr>
            </m:ctrlPr>
          </m:accPr>
          <m:e>
            <m:r>
              <w:rPr>
                <w:rFonts w:ascii="Cambria Math" w:eastAsia="Times New Roman" w:hAnsi="Cambria Math"/>
                <w:sz w:val="24"/>
                <w:szCs w:val="24"/>
              </w:rPr>
              <m:t>σ</m:t>
            </m:r>
          </m:e>
        </m:acc>
        <m:r>
          <w:rPr>
            <w:rFonts w:ascii="Cambria Math" w:eastAsia="Times New Roman" w:hAnsi="Cambria Math"/>
            <w:sz w:val="24"/>
            <w:szCs w:val="24"/>
            <w:lang w:val="en-US"/>
          </w:rPr>
          <m:t>=</m:t>
        </m:r>
        <m:r>
          <w:rPr>
            <w:rFonts w:ascii="Cambria Math" w:eastAsia="Times New Roman" w:hAnsi="Cambria Math"/>
            <w:sz w:val="24"/>
            <w:szCs w:val="24"/>
          </w:rPr>
          <m:t>μ</m:t>
        </m:r>
      </m:oMath>
      <w:r>
        <w:rPr>
          <w:rFonts w:ascii="Times New Roman" w:hAnsi="Times New Roman" w:eastAsia="Times New Roman"/>
          <w:sz w:val="24"/>
          <w:szCs w:val="24"/>
          <w:lang w:val="en-US"/>
        </w:rPr>
        <w:t xml:space="preserve"> and </w:t>
      </w:r>
      <m:oMath>
        <m:acc>
          <m:accPr>
            <m:chr m:val="̃"/>
            <m:ctrlPr>
              <w:rPr>
                <w:rFonts w:ascii="Cambria Math" w:eastAsia="Times New Roman" w:hAnsi="Cambria Math"/>
                <w:i/>
                <w:sz w:val="24"/>
                <w:szCs w:val="24"/>
              </w:rPr>
            </m:ctrlPr>
          </m:accPr>
          <m:e>
            <m:r>
              <w:rPr>
                <w:rFonts w:ascii="Cambria Math" w:eastAsia="Times New Roman" w:hAnsi="Cambria Math"/>
                <w:color w:val="2F75B5"/>
                <w:sz w:val="24"/>
                <w:szCs w:val="24"/>
              </w:rPr>
              <m:t>α</m:t>
            </m:r>
          </m:e>
        </m:acc>
      </m:oMath>
      <w:r>
        <w:rPr>
          <w:rFonts w:ascii="Times New Roman" w:hAnsi="Times New Roman" w:eastAsia="Times New Roman"/>
          <w:sz w:val="24"/>
          <w:szCs w:val="24"/>
          <w:lang w:val="en-US"/>
        </w:rPr>
        <w:t xml:space="preserve">=</w:t>
      </w:r>
      <m:oMath>
        <m:acc>
          <m:accPr>
            <m:ctrlPr>
              <w:rPr>
                <w:rFonts w:ascii="Cambria Math" w:eastAsia="Times New Roman" w:hAnsi="Cambria Math"/>
                <w:i/>
                <w:sz w:val="24"/>
                <w:szCs w:val="24"/>
              </w:rPr>
            </m:ctrlPr>
          </m:accPr>
          <m:e>
            <m:r>
              <w:rPr>
                <w:rFonts w:ascii="Cambria Math" w:eastAsia="Times New Roman" w:hAnsi="Cambria Math"/>
                <w:color w:val="2F75B5"/>
                <w:sz w:val="24"/>
                <w:szCs w:val="24"/>
              </w:rPr>
              <m:t>α</m:t>
            </m:r>
          </m:e>
        </m:acc>
      </m:oMath>
      <w:r>
        <w:rPr>
          <w:rFonts w:ascii="Times New Roman" w:hAnsi="Times New Roman" w:eastAsia="Times New Roman"/>
          <w:sz w:val="24"/>
          <w:szCs w:val="24"/>
          <w:lang w:val="en-US"/>
        </w:rPr>
        <w:t xml:space="preserve"> denoting r</w:t>
      </w:r>
      <w:r>
        <w:rPr>
          <w:rFonts w:ascii="Times New Roman" w:hAnsi="Times New Roman"/>
          <w:sz w:val="24"/>
          <w:szCs w:val="24"/>
          <w:lang w:val="en-US"/>
        </w:rPr>
        <w:t xml:space="preserve">estricted estimates. The computation of the test statistic is simple given the maximum likelihood estimates of </w:t>
      </w:r>
      <m:oMath>
        <m:acc>
          <m:accPr>
            <m:ctrlPr>
              <w:rPr>
                <w:rFonts w:ascii="Cambria Math" w:hAnsi="Cambria Math"/>
                <w:i/>
                <w:sz w:val="24"/>
                <w:szCs w:val="24"/>
              </w:rPr>
            </m:ctrlPr>
          </m:accPr>
          <m:e>
            <m:r>
              <w:rPr>
                <w:rFonts w:ascii="Cambria Math" w:hAnsi="Cambria Math"/>
                <w:color w:val="2F75B5"/>
                <w:sz w:val="24"/>
                <w:szCs w:val="24"/>
              </w:rPr>
              <m:t>α</m:t>
            </m:r>
          </m:e>
        </m:acc>
      </m:oMath>
      <w:r>
        <w:rPr>
          <w:rFonts w:ascii="Times New Roman" w:hAnsi="Times New Roman" w:eastAsia="Times New Roman"/>
          <w:sz w:val="24"/>
          <w:szCs w:val="24"/>
          <w:lang w:val="en-US"/>
        </w:rPr>
        <w:t xml:space="preserve"> obtained for the Pareto type I model. The author presents evidence that indicates satisfactory results from </w:t>
      </w:r>
      <w:r>
        <w:rPr>
          <w:rFonts w:ascii="Times New Roman" w:hAnsi="Times New Roman"/>
          <w:sz w:val="24"/>
          <w:szCs w:val="24"/>
          <w:lang w:val="en-US"/>
        </w:rPr>
        <w:t xml:space="preserve">Monte Carlo simulations with good small sample properties and adequate power against some plausible alternatives.</w:t>
      </w:r>
    </w:p>
    <w:p>
      <w:pPr>
        <w:pStyle w:val="PargrafodaLista"/>
        <w:spacing w:line="360" w:lineRule="auto"/>
        <w:ind w:left="142" w:firstLine="566"/>
        <w:jc w:val="both"/>
        <w:rPr>
          <w:rFonts w:ascii="Times New Roman" w:hAnsi="Times New Roman" w:eastAsia="Times New Roman"/>
          <w:color w:val="131413"/>
          <w:sz w:val="24"/>
          <w:szCs w:val="24"/>
          <w:lang w:val="en-US"/>
        </w:rPr>
      </w:pPr>
      <w:r>
        <w:rPr>
          <w:rFonts w:ascii="Times New Roman" w:hAnsi="Times New Roman"/>
          <w:sz w:val="24"/>
          <w:szCs w:val="24"/>
          <w:lang w:val="en-US"/>
        </w:rPr>
        <w:t xml:space="preserve">Previously, Urzúa (2000) had advanced an analogous testing strategy for the Zipf law that considers the more specific joint </w:t>
      </w:r>
      <w:r>
        <w:rPr>
          <w:rFonts w:ascii="Times New Roman" w:hAnsi="Times New Roman" w:eastAsia="Times New Roman"/>
          <w:sz w:val="24"/>
          <w:szCs w:val="24"/>
          <w:lang w:val="en-US"/>
        </w:rPr>
        <w:t xml:space="preserve">n</w:t>
      </w:r>
      <w:r>
        <w:rPr>
          <w:rFonts w:ascii="Times New Roman" w:hAnsi="Times New Roman" w:eastAsia="Times New Roman"/>
          <w:color w:val="131413"/>
          <w:sz w:val="24"/>
          <w:szCs w:val="24"/>
          <w:lang w:val="en-US"/>
        </w:rPr>
        <w:t xml:space="preserve">ull hypothesis of H</w:t>
      </w:r>
      <w:r>
        <w:rPr>
          <w:rFonts w:ascii="Times New Roman" w:hAnsi="Times New Roman" w:eastAsia="Times New Roman"/>
          <w:color w:val="131413"/>
          <w:sz w:val="24"/>
          <w:szCs w:val="24"/>
          <w:vertAlign w:val="subscript"/>
          <w:lang w:val="en-US"/>
        </w:rPr>
        <w:t xml:space="preserve">0</w:t>
      </w:r>
      <w:r>
        <w:rPr>
          <w:rFonts w:ascii="Times New Roman" w:hAnsi="Times New Roman" w:eastAsia="Times New Roman"/>
          <w:color w:val="131413"/>
          <w:sz w:val="24"/>
          <w:szCs w:val="24"/>
          <w:lang w:val="en-US"/>
        </w:rPr>
        <w:t xml:space="preserve">: </w:t>
      </w:r>
      <m:oMath>
        <m:r>
          <w:rPr>
            <w:rFonts w:ascii="Cambria Math" w:eastAsia="Times New Roman" w:hAnsi="Cambria Math"/>
            <w:color w:val="131413"/>
            <w:sz w:val="24"/>
            <w:szCs w:val="24"/>
          </w:rPr>
          <m:t>σ</m:t>
        </m:r>
        <m:r>
          <w:rPr>
            <w:rFonts w:ascii="Cambria Math" w:eastAsia="Times New Roman" w:hAnsi="Cambria Math"/>
            <w:color w:val="131413"/>
            <w:sz w:val="24"/>
            <w:szCs w:val="24"/>
            <w:lang w:val="en-US"/>
          </w:rPr>
          <m:t>=</m:t>
        </m:r>
        <m:r>
          <w:rPr>
            <w:rFonts w:ascii="Cambria Math" w:eastAsia="Times New Roman" w:hAnsi="Cambria Math"/>
            <w:color w:val="131413"/>
            <w:sz w:val="24"/>
            <w:szCs w:val="24"/>
          </w:rPr>
          <m:t>μ</m:t>
        </m:r>
        <m:r>
          <w:rPr>
            <w:rFonts w:ascii="Cambria Math" w:eastAsia="Times New Roman" w:hAnsi="Cambria Math"/>
            <w:color w:val="131413"/>
            <w:sz w:val="24"/>
            <w:szCs w:val="24"/>
            <w:lang w:val="en-US"/>
          </w:rPr>
          <m:t xml:space="preserve">,  </m:t>
        </m:r>
        <m:r>
          <w:rPr>
            <w:rFonts w:ascii="Cambria Math" w:eastAsia="Times New Roman" w:hAnsi="Cambria Math"/>
            <w:color w:val="2F75B5"/>
            <w:sz w:val="24"/>
            <w:szCs w:val="24"/>
          </w:rPr>
          <m:t>α</m:t>
        </m:r>
        <m:r>
          <w:rPr>
            <w:rFonts w:ascii="Cambria Math" w:eastAsia="Times New Roman" w:hAnsi="Cambria Math"/>
            <w:color w:val="131413"/>
            <w:sz w:val="24"/>
            <w:szCs w:val="24"/>
            <w:lang w:val="en-US"/>
          </w:rPr>
          <m:t>=1</m:t>
        </m:r>
      </m:oMath>
      <w:r>
        <w:rPr>
          <w:rFonts w:ascii="Times New Roman" w:hAnsi="Times New Roman" w:eastAsia="Times New Roman"/>
          <w:color w:val="131413"/>
          <w:sz w:val="24"/>
          <w:szCs w:val="24"/>
          <w:lang w:val="en-US"/>
        </w:rPr>
        <w:t xml:space="preserve">. Accordingly, it is possible to obtain the Lagrange multiplier (LM) test statistic that is given as follows:</w:t>
      </w:r>
    </w:p>
    <w:p>
      <w:pPr>
        <w:pStyle w:val="PargrafodaLista"/>
        <w:spacing w:line="360" w:lineRule="auto"/>
        <w:ind w:left="0"/>
        <w:jc w:val="center"/>
        <w:rPr>
          <w:rFonts w:ascii="Times New Roman" w:hAnsi="Times New Roman" w:eastAsia="Times New Roman"/>
          <w:color w:val="131413"/>
          <w:sz w:val="24"/>
          <w:szCs w:val="24"/>
          <w:lang w:val="en-US"/>
        </w:rPr>
      </w:pPr>
      <m:oMath>
        <m:sSub>
          <m:sSubPr>
            <m:ctrlPr>
              <w:rPr>
                <w:rFonts w:ascii="Cambria Math" w:hAnsi="Cambria Math"/>
                <w:i/>
                <w:sz w:val="24"/>
                <w:szCs w:val="24"/>
              </w:rPr>
            </m:ctrlPr>
          </m:sSubPr>
          <m:e>
            <m:r>
              <w:rPr>
                <w:rFonts w:ascii="Cambria Math" w:hAnsi="Cambria Math"/>
                <w:sz w:val="24"/>
                <w:szCs w:val="24"/>
              </w:rPr>
              <m:t>LM</m:t>
            </m:r>
          </m:e>
          <m:sub>
            <m:r>
              <w:rPr>
                <w:rFonts w:ascii="Cambria Math" w:hAnsi="Cambria Math"/>
                <w:sz w:val="24"/>
                <w:szCs w:val="24"/>
              </w:rPr>
              <m:t>Z</m:t>
            </m:r>
          </m:sub>
        </m:sSub>
        <m:r>
          <w:rPr>
            <w:rFonts w:ascii="Cambria Math" w:hAnsi="Cambria Math"/>
            <w:sz w:val="24"/>
            <w:szCs w:val="24"/>
            <w:lang w:val="en-US"/>
          </w:rPr>
          <m:t>=4</m:t>
        </m:r>
        <m:r>
          <w:rPr>
            <w:rFonts w:ascii="Cambria Math" w:hAnsi="Cambria Math"/>
            <w:sz w:val="24"/>
            <w:szCs w:val="24"/>
          </w:rPr>
          <m:t>n</m:t>
        </m:r>
        <m:r>
          <w:rPr>
            <w:rFonts w:ascii="Cambria Math" w:hAnsi="Cambria Math"/>
            <w:sz w:val="24"/>
            <w:szCs w:val="24"/>
            <w:lang w:val="en-US"/>
          </w:rPr>
          <m:t>[</m:t>
        </m:r>
        <m:sSubSup>
          <m:sSubSupPr>
            <m:ctrlPr>
              <w:rPr>
                <w:rFonts w:ascii="Cambria Math" w:hAnsi="Cambria Math"/>
                <w:i/>
                <w:sz w:val="24"/>
                <w:szCs w:val="24"/>
              </w:rPr>
            </m:ctrlPr>
          </m:sSubSupPr>
          <m:e>
            <m:r>
              <w:rPr>
                <w:rFonts w:ascii="Cambria Math" w:hAnsi="Cambria Math"/>
                <w:sz w:val="24"/>
                <w:szCs w:val="24"/>
              </w:rPr>
              <m:t>z</m:t>
            </m:r>
          </m:e>
          <m:sub>
            <m:r>
              <w:rPr>
                <w:rFonts w:ascii="Cambria Math" w:hAnsi="Cambria Math"/>
                <w:sz w:val="24"/>
                <w:szCs w:val="24"/>
                <w:lang w:val="en-US"/>
              </w:rPr>
              <m:t>1</m:t>
            </m:r>
          </m:sub>
          <m:sup>
            <m:r>
              <w:rPr>
                <w:rFonts w:ascii="Cambria Math" w:hAnsi="Cambria Math"/>
                <w:sz w:val="24"/>
                <w:szCs w:val="24"/>
                <w:lang w:val="en-US"/>
              </w:rPr>
              <m:t>2</m:t>
            </m:r>
          </m:sup>
        </m:sSubSup>
        <m:sSub>
          <m:sSubPr>
            <m:ctrlPr>
              <w:rPr>
                <w:rFonts w:ascii="Cambria Math" w:hAnsi="Cambria Math"/>
                <w:i/>
                <w:sz w:val="24"/>
                <w:szCs w:val="24"/>
              </w:rPr>
            </m:ctrlPr>
          </m:sSubPr>
          <m:e>
            <m:r>
              <w:rPr>
                <w:rFonts w:ascii="Cambria Math" w:hAnsi="Cambria Math"/>
                <w:sz w:val="24"/>
                <w:szCs w:val="24"/>
                <w:lang w:val="en-US"/>
              </w:rPr>
              <m:t>+6</m:t>
            </m:r>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lang w:val="en-US"/>
                  </w:rPr>
                  <m:t>1</m:t>
                </m:r>
              </m:sub>
            </m:sSub>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lang w:val="en-US"/>
                  </w:rPr>
                  <m:t>2</m:t>
                </m:r>
              </m:sub>
            </m:sSub>
            <m:r>
              <w:rPr>
                <w:rFonts w:ascii="Cambria Math" w:hAnsi="Cambria Math"/>
                <w:sz w:val="24"/>
                <w:szCs w:val="24"/>
                <w:lang w:val="en-US"/>
              </w:rPr>
              <m:t>+12</m:t>
            </m:r>
            <m:sSubSup>
              <m:sSubSupPr>
                <m:ctrlPr>
                  <w:rPr>
                    <w:rFonts w:ascii="Cambria Math" w:hAnsi="Cambria Math"/>
                    <w:i/>
                    <w:sz w:val="24"/>
                    <w:szCs w:val="24"/>
                  </w:rPr>
                </m:ctrlPr>
              </m:sSubSupPr>
              <m:e>
                <m:r>
                  <w:rPr>
                    <w:rFonts w:ascii="Cambria Math" w:hAnsi="Cambria Math"/>
                    <w:sz w:val="24"/>
                    <w:szCs w:val="24"/>
                  </w:rPr>
                  <m:t>z</m:t>
                </m:r>
              </m:e>
              <m:sub>
                <m:r>
                  <w:rPr>
                    <w:rFonts w:ascii="Cambria Math" w:hAnsi="Cambria Math"/>
                    <w:sz w:val="24"/>
                    <w:szCs w:val="24"/>
                    <w:lang w:val="en-US"/>
                  </w:rPr>
                  <m:t>2</m:t>
                </m:r>
              </m:sub>
              <m:sup>
                <m:r>
                  <w:rPr>
                    <w:rFonts w:ascii="Cambria Math" w:hAnsi="Cambria Math"/>
                    <w:sz w:val="24"/>
                    <w:szCs w:val="24"/>
                    <w:lang w:val="en-US"/>
                  </w:rPr>
                  <m:t>2</m:t>
                </m:r>
              </m:sup>
            </m:sSubSup>
            <m:r>
              <w:rPr>
                <w:rFonts w:ascii="Cambria Math" w:hAnsi="Cambria Math"/>
                <w:sz w:val="24"/>
                <w:szCs w:val="24"/>
                <w:lang w:val="en-US"/>
              </w:rPr>
              <m:t>]~</m:t>
            </m:r>
          </m:e>
          <m:sub>
            <m:r>
              <w:rPr>
                <w:rFonts w:ascii="Cambria Math" w:hAnsi="Cambria Math"/>
                <w:sz w:val="24"/>
                <w:szCs w:val="24"/>
              </w:rPr>
              <m:t xml:space="preserve">asy </m:t>
            </m:r>
          </m:sub>
        </m:sSub>
        <m:sSup>
          <m:sSupPr>
            <m:ctrlPr>
              <w:rPr>
                <w:rFonts w:ascii="Cambria Math" w:hAnsi="Cambria Math"/>
                <w:i/>
                <w:sz w:val="24"/>
                <w:szCs w:val="24"/>
              </w:rPr>
            </m:ctrlPr>
          </m:sSupPr>
          <m:e>
            <m:r>
              <w:rPr>
                <w:rFonts w:ascii="Cambria Math" w:hAnsi="Cambria Math"/>
                <w:color w:val="2F75B5"/>
                <w:sz w:val="24"/>
                <w:szCs w:val="24"/>
              </w:rPr>
              <m:t>χ</m:t>
            </m:r>
          </m:e>
          <m:sup>
            <m:r>
              <w:rPr>
                <w:rFonts w:ascii="Cambria Math" w:hAnsi="Cambria Math"/>
                <w:sz w:val="24"/>
                <w:szCs w:val="24"/>
              </w:rPr>
              <m:t>2</m:t>
            </m:r>
          </m:sup>
        </m:sSup>
        <m:r>
          <w:rPr>
            <w:rFonts w:ascii="Cambria Math" w:hAnsi="Cambria Math"/>
            <w:sz w:val="24"/>
            <w:szCs w:val="24"/>
            <w:lang w:val="en-US"/>
          </w:rPr>
          <m:t>(2)</m:t>
        </m:r>
        <m:r>
          <w:rPr>
            <w:rFonts w:ascii="Cambria Math" w:eastAsia="Times New Roman" w:hAnsi="Cambria Math"/>
            <w:sz w:val="24"/>
            <w:szCs w:val="24"/>
            <w:lang w:val="en-US"/>
          </w:rPr>
          <m:t xml:space="preserve">   </m:t>
        </m:r>
        <m:r>
          <w:rPr>
            <w:rFonts w:ascii="Cambria Math" w:eastAsia="Times New Roman" w:hAnsi="Cambria Math"/>
            <w:sz w:val="24"/>
            <w:szCs w:val="24"/>
          </w:rPr>
          <m:t>under</m:t>
        </m:r>
        <m:r>
          <w:rPr>
            <w:rFonts w:ascii="Cambria Math" w:eastAsia="Times New Roman" w:hAnsi="Cambria Math"/>
            <w:sz w:val="24"/>
            <w:szCs w:val="24"/>
            <w:lang w:val="en-US"/>
          </w:rPr>
          <m:t xml:space="preserve"> </m:t>
        </m:r>
        <m:sSub>
          <m:sSubPr>
            <m:ctrlPr>
              <w:rPr>
                <w:rFonts w:ascii="Cambria Math" w:eastAsia="Times New Roman" w:hAnsi="Cambria Math"/>
                <w:i/>
                <w:sz w:val="24"/>
                <w:szCs w:val="24"/>
              </w:rPr>
            </m:ctrlPr>
          </m:sSubPr>
          <m:e>
            <m:r>
              <w:rPr>
                <w:rFonts w:ascii="Cambria Math" w:eastAsia="Times New Roman" w:hAnsi="Cambria Math"/>
                <w:sz w:val="24"/>
                <w:szCs w:val="24"/>
              </w:rPr>
              <m:t>H</m:t>
            </m:r>
          </m:e>
          <m:sub>
            <m:r>
              <w:rPr>
                <w:rFonts w:ascii="Cambria Math" w:eastAsia="Times New Roman" w:hAnsi="Cambria Math"/>
                <w:sz w:val="24"/>
                <w:szCs w:val="24"/>
                <w:lang w:val="en-US"/>
              </w:rPr>
              <m:t>0</m:t>
            </m:r>
          </m:sub>
        </m:sSub>
        <m:r>
          <w:rPr>
            <w:rFonts w:ascii="Cambria Math" w:eastAsia="Times New Roman" w:hAnsi="Cambria Math"/>
            <w:sz w:val="24"/>
            <w:szCs w:val="24"/>
            <w:lang w:val="en-US"/>
          </w:rPr>
          <m:t>:</m:t>
        </m:r>
        <m:r>
          <w:rPr>
            <w:rFonts w:ascii="Cambria Math" w:eastAsia="Times New Roman" w:hAnsi="Cambria Math"/>
            <w:sz w:val="24"/>
            <w:szCs w:val="24"/>
          </w:rPr>
          <m:t>σ</m:t>
        </m:r>
        <m:r>
          <w:rPr>
            <w:rFonts w:ascii="Cambria Math" w:eastAsia="Times New Roman" w:hAnsi="Cambria Math"/>
            <w:sz w:val="24"/>
            <w:szCs w:val="24"/>
            <w:lang w:val="en-US"/>
          </w:rPr>
          <m:t>=</m:t>
        </m:r>
        <m:r>
          <w:rPr>
            <w:rFonts w:ascii="Cambria Math" w:eastAsia="Times New Roman" w:hAnsi="Cambria Math"/>
            <w:sz w:val="24"/>
            <w:szCs w:val="24"/>
          </w:rPr>
          <m:t>μ</m:t>
        </m:r>
        <m:r>
          <m:rPr>
            <m:sty m:val="p"/>
          </m:rPr>
          <w:rPr>
            <w:rFonts w:ascii="Cambria Math" w:eastAsia="Times New Roman" w:hAnsi="Cambria Math"/>
            <w:sz w:val="24"/>
            <w:szCs w:val="24"/>
            <w:lang w:val="en-US"/>
          </w:rPr>
          <m:t xml:space="preserve"> ,</m:t>
        </m:r>
        <m:r>
          <m:rPr>
            <m:sty m:val="p"/>
          </m:rPr>
          <w:rPr>
            <w:rFonts w:ascii="Cambria Math" w:eastAsia="Times New Roman" w:hAnsi="Cambria Math"/>
            <w:color w:val="2F75B5"/>
            <w:sz w:val="24"/>
            <w:szCs w:val="24"/>
          </w:rPr>
          <m:t>α</m:t>
        </m:r>
        <m:r>
          <m:rPr>
            <m:sty m:val="p"/>
          </m:rPr>
          <w:rPr>
            <w:rFonts w:ascii="Cambria Math" w:eastAsia="Times New Roman" w:hAnsi="Cambria Math"/>
            <w:sz w:val="24"/>
            <w:szCs w:val="24"/>
            <w:lang w:val="en-US"/>
          </w:rPr>
          <m:t xml:space="preserve">=1   </m:t>
        </m:r>
      </m:oMath>
      <w:r>
        <w:rPr>
          <w:rFonts w:ascii="Times New Roman" w:hAnsi="Times New Roman" w:eastAsia="Times New Roman"/>
          <w:sz w:val="24"/>
          <w:szCs w:val="24"/>
          <w:lang w:val="en-US"/>
        </w:rPr>
        <w:t xml:space="preserve">        (4)</w:t>
      </w:r>
    </w:p>
    <w:p>
      <w:pPr>
        <w:pStyle w:val="PargrafodaLista"/>
        <w:spacing w:line="360" w:lineRule="auto"/>
        <w:ind w:left="142" w:firstLine="566"/>
        <w:jc w:val="both"/>
        <w:rPr>
          <w:rFonts w:ascii="Times New Roman" w:hAnsi="Times New Roman" w:eastAsia="Times New Roman"/>
          <w:sz w:val="24"/>
          <w:szCs w:val="24"/>
          <w:lang w:val="en-US"/>
        </w:rPr>
      </w:pPr>
      <w:r>
        <w:rPr>
          <w:rFonts w:ascii="Times New Roman" w:hAnsi="Times New Roman" w:eastAsia="Times New Roman"/>
          <w:sz w:val="24"/>
          <w:szCs w:val="24"/>
          <w:lang w:val="en-US"/>
        </w:rPr>
        <w:t xml:space="preserve">where </w:t>
      </w:r>
      <m:oMath>
        <m:sSub>
          <m:sSubPr>
            <m:ctrlPr>
              <w:rPr>
                <w:rFonts w:ascii="Cambria Math" w:eastAsia="Times New Roman" w:hAnsi="Cambria Math"/>
                <w:i/>
                <w:sz w:val="24"/>
                <w:szCs w:val="24"/>
              </w:rPr>
            </m:ctrlPr>
          </m:sSubPr>
          <m:e>
            <m:r>
              <w:rPr>
                <w:rFonts w:ascii="Cambria Math" w:eastAsia="Times New Roman" w:hAnsi="Cambria Math"/>
                <w:sz w:val="24"/>
                <w:szCs w:val="24"/>
              </w:rPr>
              <m:t>z</m:t>
            </m:r>
          </m:e>
          <m:sub>
            <m:r>
              <w:rPr>
                <w:rFonts w:ascii="Cambria Math" w:eastAsia="Times New Roman" w:hAnsi="Cambria Math"/>
                <w:sz w:val="24"/>
                <w:szCs w:val="24"/>
                <w:lang w:val="en-US"/>
              </w:rPr>
              <m:t>1</m:t>
            </m:r>
          </m:sub>
        </m:sSub>
        <m:r>
          <w:rPr>
            <w:rFonts w:ascii="Cambria Math" w:eastAsia="Times New Roman" w:hAnsi="Cambria Math"/>
            <w:sz w:val="24"/>
            <w:szCs w:val="24"/>
            <w:lang w:val="en-US"/>
          </w:rPr>
          <m:t>≡1-</m:t>
        </m:r>
        <m:f>
          <m:fPr>
            <m:ctrlPr>
              <w:rPr>
                <w:rFonts w:ascii="Cambria Math" w:eastAsia="Times New Roman" w:hAnsi="Cambria Math"/>
                <w:i/>
                <w:sz w:val="24"/>
                <w:szCs w:val="24"/>
              </w:rPr>
            </m:ctrlPr>
          </m:fPr>
          <m:num>
            <m:r>
              <w:rPr>
                <w:rFonts w:ascii="Cambria Math" w:eastAsia="Times New Roman" w:hAnsi="Cambria Math"/>
                <w:sz w:val="24"/>
                <w:szCs w:val="24"/>
                <w:lang w:val="en-US"/>
              </w:rPr>
              <m:t>1</m:t>
            </m:r>
          </m:num>
          <m:den>
            <m:r>
              <w:rPr>
                <w:rFonts w:ascii="Cambria Math" w:eastAsia="Times New Roman" w:hAnsi="Cambria Math"/>
                <w:sz w:val="24"/>
                <w:szCs w:val="24"/>
              </w:rPr>
              <m:t>n</m:t>
            </m:r>
          </m:den>
        </m:f>
        <m:nary>
          <m:naryPr>
            <m:chr m:val="∑"/>
            <m:limLoc m:val="undOvr"/>
            <m:ctrlPr>
              <w:rPr>
                <w:rFonts w:ascii="Cambria Math" w:eastAsia="Times New Roman" w:hAnsi="Cambria Math"/>
                <w:i/>
                <w:sz w:val="24"/>
                <w:szCs w:val="24"/>
              </w:rPr>
            </m:ctrlPr>
          </m:naryPr>
          <m:sub>
            <m:r>
              <w:rPr>
                <w:rFonts w:ascii="Cambria Math" w:eastAsia="Times New Roman" w:hAnsi="Cambria Math"/>
                <w:sz w:val="24"/>
                <w:szCs w:val="24"/>
              </w:rPr>
              <m:t>i</m:t>
            </m:r>
            <m:r>
              <w:rPr>
                <w:rFonts w:ascii="Cambria Math" w:eastAsia="Times New Roman" w:hAnsi="Cambria Math"/>
                <w:sz w:val="24"/>
                <w:szCs w:val="24"/>
                <w:lang w:val="en-US"/>
              </w:rPr>
              <m:t>=1</m:t>
            </m:r>
          </m:sub>
          <m:sup>
            <m:r>
              <w:rPr>
                <w:rFonts w:ascii="Cambria Math" w:eastAsia="Times New Roman" w:hAnsi="Cambria Math"/>
                <w:sz w:val="24"/>
                <w:szCs w:val="24"/>
              </w:rPr>
              <m:t>n</m:t>
            </m:r>
          </m:sup>
          <m:e>
            <m:r>
              <w:rPr>
                <w:rFonts w:ascii="Cambria Math" w:eastAsia="Times New Roman" w:hAnsi="Cambria Math"/>
                <w:sz w:val="24"/>
                <w:szCs w:val="24"/>
              </w:rPr>
              <m:t>ln</m:t>
            </m:r>
            <m:r>
              <w:rPr>
                <w:rFonts w:ascii="Cambria Math" w:eastAsia="Times New Roman" w:hAnsi="Cambria Math"/>
                <w:sz w:val="24"/>
                <w:szCs w:val="24"/>
                <w:lang w:val="en-US"/>
              </w:rPr>
              <m:t>(</m:t>
            </m:r>
            <m:f>
              <m:fPr>
                <m:ctrlPr>
                  <w:rPr>
                    <w:rFonts w:ascii="Cambria Math" w:eastAsia="Times New Roman" w:hAnsi="Cambria Math"/>
                    <w:i/>
                    <w:sz w:val="24"/>
                    <w:szCs w:val="24"/>
                  </w:rPr>
                </m:ctrlPr>
              </m:fPr>
              <m:num>
                <m:sSub>
                  <m:sSubPr>
                    <m:ctrlPr>
                      <w:rPr>
                        <w:rFonts w:ascii="Cambria Math" w:eastAsia="Times New Roman" w:hAnsi="Cambria Math"/>
                        <w:i/>
                        <w:sz w:val="24"/>
                        <w:szCs w:val="24"/>
                      </w:rPr>
                    </m:ctrlPr>
                  </m:sSubPr>
                  <m:e>
                    <m:r>
                      <w:rPr>
                        <w:rFonts w:ascii="Cambria Math" w:eastAsia="Times New Roman" w:hAnsi="Cambria Math"/>
                        <w:sz w:val="24"/>
                        <w:szCs w:val="24"/>
                      </w:rPr>
                      <m:t>x</m:t>
                    </m:r>
                  </m:e>
                  <m:sub>
                    <m:r>
                      <w:rPr>
                        <w:rFonts w:ascii="Cambria Math" w:eastAsia="Times New Roman" w:hAnsi="Cambria Math"/>
                        <w:sz w:val="24"/>
                        <w:szCs w:val="24"/>
                      </w:rPr>
                      <m:t>i</m:t>
                    </m:r>
                  </m:sub>
                </m:sSub>
              </m:num>
              <m:den>
                <m:r>
                  <w:rPr>
                    <w:rFonts w:ascii="Cambria Math" w:eastAsia="Times New Roman" w:hAnsi="Cambria Math"/>
                    <w:sz w:val="24"/>
                    <w:szCs w:val="24"/>
                  </w:rPr>
                  <m:t>μ</m:t>
                </m:r>
              </m:den>
            </m:f>
          </m:e>
        </m:nary>
        <m:r>
          <w:rPr>
            <w:rFonts w:ascii="Cambria Math" w:eastAsia="Times New Roman" w:hAnsi="Cambria Math"/>
            <w:sz w:val="24"/>
            <w:szCs w:val="24"/>
            <w:lang w:val="en-US"/>
          </w:rPr>
          <m:t>)</m:t>
        </m:r>
      </m:oMath>
      <w:r>
        <w:rPr>
          <w:rFonts w:ascii="Times New Roman" w:hAnsi="Times New Roman" w:eastAsia="Times New Roman"/>
          <w:sz w:val="24"/>
          <w:szCs w:val="24"/>
          <w:lang w:val="en-US"/>
        </w:rPr>
        <w:t xml:space="preserve">      and  </w:t>
      </w:r>
      <m:oMath>
        <m:sSub>
          <m:sSubPr>
            <m:ctrlPr>
              <w:rPr>
                <w:rFonts w:ascii="Cambria Math" w:eastAsia="Times New Roman" w:hAnsi="Cambria Math"/>
                <w:i/>
                <w:sz w:val="24"/>
                <w:szCs w:val="24"/>
              </w:rPr>
            </m:ctrlPr>
          </m:sSubPr>
          <m:e>
            <m:r>
              <w:rPr>
                <w:rFonts w:ascii="Cambria Math" w:eastAsia="Times New Roman" w:hAnsi="Cambria Math"/>
                <w:sz w:val="24"/>
                <w:szCs w:val="24"/>
              </w:rPr>
              <m:t>z</m:t>
            </m:r>
          </m:e>
          <m:sub>
            <m:r>
              <w:rPr>
                <w:rFonts w:ascii="Cambria Math" w:eastAsia="Times New Roman" w:hAnsi="Cambria Math"/>
                <w:sz w:val="24"/>
                <w:szCs w:val="24"/>
                <w:lang w:val="en-US"/>
              </w:rPr>
              <m:t>2</m:t>
            </m:r>
          </m:sub>
        </m:sSub>
        <m:r>
          <w:rPr>
            <w:rFonts w:ascii="Cambria Math" w:eastAsia="Times New Roman" w:hAnsi="Cambria Math"/>
            <w:sz w:val="24"/>
            <w:szCs w:val="24"/>
            <w:lang w:val="en-US"/>
          </w:rPr>
          <m:t xml:space="preserve">≡ </m:t>
        </m:r>
        <m:f>
          <m:fPr>
            <m:ctrlPr>
              <w:rPr>
                <w:rFonts w:ascii="Cambria Math" w:eastAsia="Times New Roman" w:hAnsi="Cambria Math"/>
                <w:i/>
                <w:sz w:val="24"/>
                <w:szCs w:val="24"/>
              </w:rPr>
            </m:ctrlPr>
          </m:fPr>
          <m:num>
            <m:r>
              <w:rPr>
                <w:rFonts w:ascii="Cambria Math" w:eastAsia="Times New Roman" w:hAnsi="Cambria Math"/>
                <w:sz w:val="24"/>
                <w:szCs w:val="24"/>
                <w:lang w:val="en-US"/>
              </w:rPr>
              <m:t>1</m:t>
            </m:r>
          </m:num>
          <m:den>
            <m:r>
              <w:rPr>
                <w:rFonts w:ascii="Cambria Math" w:eastAsia="Times New Roman" w:hAnsi="Cambria Math"/>
                <w:sz w:val="24"/>
                <w:szCs w:val="24"/>
                <w:lang w:val="en-US"/>
              </w:rPr>
              <m:t>2</m:t>
            </m:r>
          </m:den>
        </m:f>
        <m:r>
          <w:rPr>
            <w:rFonts w:ascii="Cambria Math" w:eastAsia="Times New Roman" w:hAnsi="Cambria Math"/>
            <w:sz w:val="24"/>
            <w:szCs w:val="24"/>
            <w:lang w:val="en-US"/>
          </w:rPr>
          <m:t>-</m:t>
        </m:r>
        <m:f>
          <m:fPr>
            <m:ctrlPr>
              <w:rPr>
                <w:rFonts w:ascii="Cambria Math" w:eastAsia="Times New Roman" w:hAnsi="Cambria Math"/>
                <w:i/>
                <w:sz w:val="24"/>
                <w:szCs w:val="24"/>
              </w:rPr>
            </m:ctrlPr>
          </m:fPr>
          <m:num>
            <m:r>
              <w:rPr>
                <w:rFonts w:ascii="Cambria Math" w:eastAsia="Times New Roman" w:hAnsi="Cambria Math"/>
                <w:sz w:val="24"/>
                <w:szCs w:val="24"/>
                <w:lang w:val="en-US"/>
              </w:rPr>
              <m:t>1</m:t>
            </m:r>
          </m:num>
          <m:den>
            <m:r>
              <w:rPr>
                <w:rFonts w:ascii="Cambria Math" w:eastAsia="Times New Roman" w:hAnsi="Cambria Math"/>
                <w:sz w:val="24"/>
                <w:szCs w:val="24"/>
              </w:rPr>
              <m:t>n</m:t>
            </m:r>
          </m:den>
        </m:f>
        <m:nary>
          <m:naryPr>
            <m:chr m:val="∑"/>
            <m:limLoc m:val="undOvr"/>
            <m:ctrlPr>
              <w:rPr>
                <w:rFonts w:ascii="Cambria Math" w:eastAsia="Times New Roman" w:hAnsi="Cambria Math"/>
                <w:i/>
                <w:sz w:val="24"/>
                <w:szCs w:val="24"/>
              </w:rPr>
            </m:ctrlPr>
          </m:naryPr>
          <m:sub>
            <m:r>
              <w:rPr>
                <w:rFonts w:ascii="Cambria Math" w:eastAsia="Times New Roman" w:hAnsi="Cambria Math"/>
                <w:sz w:val="24"/>
                <w:szCs w:val="24"/>
              </w:rPr>
              <m:t>i</m:t>
            </m:r>
            <m:r>
              <w:rPr>
                <w:rFonts w:ascii="Cambria Math" w:eastAsia="Times New Roman" w:hAnsi="Cambria Math"/>
                <w:sz w:val="24"/>
                <w:szCs w:val="24"/>
                <w:lang w:val="en-US"/>
              </w:rPr>
              <m:t>=1</m:t>
            </m:r>
          </m:sub>
          <m:sup>
            <m:r>
              <w:rPr>
                <w:rFonts w:ascii="Cambria Math" w:eastAsia="Times New Roman" w:hAnsi="Cambria Math"/>
                <w:sz w:val="24"/>
                <w:szCs w:val="24"/>
              </w:rPr>
              <m:t>n</m:t>
            </m:r>
          </m:sup>
          <m:e>
            <m:f>
              <m:fPr>
                <m:ctrlPr>
                  <w:rPr>
                    <w:rFonts w:ascii="Cambria Math" w:eastAsia="Times New Roman" w:hAnsi="Cambria Math"/>
                    <w:i/>
                    <w:sz w:val="24"/>
                    <w:szCs w:val="24"/>
                  </w:rPr>
                </m:ctrlPr>
              </m:fPr>
              <m:num>
                <m:r>
                  <w:rPr>
                    <w:rFonts w:ascii="Cambria Math" w:eastAsia="Times New Roman" w:hAnsi="Cambria Math"/>
                    <w:sz w:val="24"/>
                    <w:szCs w:val="24"/>
                  </w:rPr>
                  <m:t>μ</m:t>
                </m:r>
              </m:num>
              <m:den>
                <m:sSub>
                  <m:sSubPr>
                    <m:ctrlPr>
                      <w:rPr>
                        <w:rFonts w:ascii="Cambria Math" w:eastAsia="Times New Roman" w:hAnsi="Cambria Math"/>
                        <w:i/>
                        <w:sz w:val="24"/>
                        <w:szCs w:val="24"/>
                      </w:rPr>
                    </m:ctrlPr>
                  </m:sSubPr>
                  <m:e>
                    <m:r>
                      <w:rPr>
                        <w:rFonts w:ascii="Cambria Math" w:eastAsia="Times New Roman" w:hAnsi="Cambria Math"/>
                        <w:sz w:val="24"/>
                        <w:szCs w:val="24"/>
                      </w:rPr>
                      <m:t>x</m:t>
                    </m:r>
                  </m:e>
                  <m:sub>
                    <m:r>
                      <w:rPr>
                        <w:rFonts w:ascii="Cambria Math" w:eastAsia="Times New Roman" w:hAnsi="Cambria Math"/>
                        <w:sz w:val="24"/>
                        <w:szCs w:val="24"/>
                      </w:rPr>
                      <m:t>i</m:t>
                    </m:r>
                  </m:sub>
                </m:sSub>
              </m:den>
            </m:f>
          </m:e>
        </m:nary>
      </m:oMath>
    </w:p>
    <w:p>
      <w:pPr>
        <w:pStyle w:val="PargrafodaLista"/>
        <w:spacing w:line="360" w:lineRule="auto"/>
        <w:ind w:left="142" w:firstLine="566"/>
        <w:jc w:val="both"/>
        <w:rPr>
          <w:rFonts w:ascii="Times New Roman" w:hAnsi="Times New Roman" w:eastAsia="Times New Roman"/>
          <w:sz w:val="24"/>
          <w:szCs w:val="24"/>
          <w:lang w:val="en-US"/>
        </w:rPr>
      </w:pPr>
      <w:r>
        <w:rPr>
          <w:rFonts w:ascii="Times New Roman" w:hAnsi="Times New Roman" w:eastAsia="Times New Roman"/>
          <w:sz w:val="24"/>
          <w:szCs w:val="24"/>
          <w:lang w:val="en-US"/>
        </w:rPr>
        <w:t xml:space="preserve">Note that now one has an additional restriction under the null hypothesis in contrast with (3) and therefore a distinct number of degrees of freedom in the asymptotic distribution. Furthermore, the reported finite sample properties for the LMz test as obtained from Monte Carlo simulations appear as adequate. The particular interest in the law advanced by Zipf (1949) would lead, if tenable, to a strong inverse proportionality between firm rank and firm size. It indicates that</w:t>
      </w:r>
      <w:r>
        <w:rPr>
          <w:rFonts w:ascii="Times New Roman" w:hAnsi="Times New Roman" w:eastAsia="Times New Roman"/>
          <w:sz w:val="24"/>
          <w:szCs w:val="24"/>
        </w:rPr>
        <w:t xml:space="preserve"> the largest firm in an economy is approximately twice the size of the second largest, three times the size of the third largest, and so on.</w:t>
      </w:r>
    </w:p>
    <w:p>
      <w:pPr>
        <w:pStyle w:val="PargrafodaLista"/>
        <w:spacing w:line="360" w:lineRule="auto"/>
        <w:ind w:left="142" w:firstLine="566"/>
        <w:jc w:val="both"/>
        <w:rPr>
          <w:rFonts w:ascii="Times New Roman" w:hAnsi="Times New Roman" w:eastAsia="Times New Roman"/>
          <w:sz w:val="24"/>
          <w:szCs w:val="24"/>
          <w:lang w:val="en-US"/>
        </w:rPr>
      </w:pPr>
      <w:r>
        <w:rPr>
          <w:rFonts w:ascii="Times New Roman" w:hAnsi="Times New Roman" w:eastAsia="Times New Roman"/>
          <w:sz w:val="24"/>
          <w:szCs w:val="24"/>
          <w:lang w:val="en-US"/>
        </w:rPr>
        <w:t xml:space="preserve">The nested hypotheses motivate a sequential interpretation: LMp first tests Pareto type I within type II, and LMz then examines the additional Zipf restriction. In the empirical analysis, however, both tests are reported for every year and cutoff, including when LMp rejects. LMz tests the joint restrictions σ = μ and α = 1 and serves as a separate diagnostic; its non-rejection following an LMp rejection does not establish Zipf’s law.</w:t>
      </w:r>
    </w:p>
    <w:p>
      <w:pPr>
        <w:pStyle w:val="PargrafodaLista"/>
        <w:spacing w:line="360" w:lineRule="auto"/>
        <w:ind w:left="0"/>
        <w:rPr>
          <w:rFonts w:ascii="Times New Roman" w:hAnsi="Times New Roman" w:eastAsia="Times New Roman"/>
          <w:sz w:val="24"/>
          <w:szCs w:val="24"/>
          <w:lang w:val="en-US"/>
        </w:rPr>
      </w:pPr>
      <w:r>
        <w:rPr>
          <w:rFonts w:ascii="Times New Roman" w:hAnsi="Times New Roman"/>
          <w:sz w:val="24"/>
          <w:szCs w:val="24"/>
          <w:lang w:val="en-US"/>
        </w:rPr>
        <w:t xml:space="preserve">2.2 – </w:t>
      </w:r>
      <w:r>
        <w:rPr>
          <w:rFonts w:ascii="Times New Roman" w:hAnsi="Times New Roman"/>
          <w:sz w:val="24"/>
          <w:szCs w:val="24"/>
          <w:u w:val="single"/>
          <w:lang w:val="en-US"/>
        </w:rPr>
        <w:t xml:space="preserve">More general nesting structures</w:t>
      </w:r>
    </w:p>
    <w:p>
      <w:pPr>
        <w:pStyle w:val="PargrafodaLista"/>
        <w:spacing w:line="360" w:lineRule="auto"/>
        <w:ind w:left="142" w:firstLine="566"/>
        <w:jc w:val="both"/>
        <w:rPr>
          <w:rFonts w:ascii="Times New Roman" w:hAnsi="Times New Roman"/>
          <w:sz w:val="24"/>
          <w:szCs w:val="24"/>
          <w:lang w:val="en-US"/>
        </w:rPr>
      </w:pPr>
      <w:r>
        <w:rPr>
          <w:rFonts w:ascii="Times New Roman" w:hAnsi="Times New Roman"/>
          <w:sz w:val="24"/>
          <w:szCs w:val="24"/>
          <w:lang w:val="en-US"/>
        </w:rPr>
        <w:t xml:space="preserve">Urzúa (2020) argues that the contrasts between the null and alternative hypotheses would be subtle under the testing strategies advanced by Urzúa (2000) and Goerlich (2013) as the involved distributions would have a similar heavy-tail behavior. Thus, he suggests embedding the Pareto model within a more general structure of a Pareto type IV model. The more general Pareto type IV density can be expressed as follows [see Arnold (2015)]:</w:t>
      </w:r>
    </w:p>
    <w:p>
      <w:pPr>
        <w:spacing w:line="360" w:lineRule="auto"/>
        <w:jc w:val="center"/>
        <w:rPr>
          <w:rFonts w:ascii="Times New Roman" w:hAnsi="Times New Roman"/>
          <w:sz w:val="24"/>
          <w:szCs w:val="24"/>
          <w:lang w:val="en-US"/>
        </w:rPr>
      </w:pPr>
      <m:oMath>
        <m:r>
          <w:rPr>
            <w:rFonts w:ascii="Cambria Math" w:hAnsi="Cambria Math"/>
            <w:sz w:val="24"/>
            <w:szCs w:val="24"/>
          </w:rPr>
          <m:t>f</m:t>
        </m:r>
        <m:r>
          <w:rPr>
            <w:rFonts w:ascii="Cambria Math" w:hAnsi="Cambria Math"/>
            <w:sz w:val="24"/>
            <w:szCs w:val="24"/>
            <w:lang w:val="en-US"/>
          </w:rPr>
          <m:t>(</m:t>
        </m:r>
        <m:r>
          <w:rPr>
            <w:rFonts w:ascii="Cambria Math" w:hAnsi="Cambria Math"/>
            <w:sz w:val="24"/>
            <w:szCs w:val="24"/>
          </w:rPr>
          <m:t>x</m:t>
        </m:r>
        <m:r>
          <w:rPr>
            <w:rFonts w:ascii="Cambria Math" w:hAnsi="Cambria Math"/>
            <w:sz w:val="24"/>
            <w:szCs w:val="24"/>
            <w:lang w:val="en-US"/>
          </w:rPr>
          <m:t>)=</m:t>
        </m:r>
        <m:f>
          <m:fPr>
            <m:ctrlPr>
              <w:rPr>
                <w:rFonts w:ascii="Cambria Math" w:hAnsi="Cambria Math"/>
                <w:i/>
                <w:sz w:val="24"/>
                <w:szCs w:val="24"/>
              </w:rPr>
            </m:ctrlPr>
          </m:fPr>
          <m:num>
            <m:r>
              <w:rPr>
                <w:rFonts w:ascii="Cambria Math" w:hAnsi="Cambria Math"/>
                <w:color w:val="2F75B5"/>
                <w:sz w:val="24"/>
                <w:szCs w:val="24"/>
              </w:rPr>
              <m:t>α</m:t>
            </m:r>
          </m:num>
          <m:den>
            <m:r>
              <w:rPr>
                <w:rFonts w:ascii="Cambria Math" w:hAnsi="Cambria Math"/>
                <w:color w:val="2F75B5"/>
                <w:sz w:val="24"/>
                <w:szCs w:val="24"/>
              </w:rPr>
              <m:t>γ</m:t>
            </m:r>
            <m:r>
              <w:rPr>
                <w:rFonts w:ascii="Cambria Math" w:hAnsi="Cambria Math"/>
                <w:sz w:val="24"/>
                <w:szCs w:val="24"/>
              </w:rPr>
              <m:t>σ</m:t>
            </m:r>
          </m:den>
        </m:f>
        <m:r>
          <w:rPr>
            <w:rFonts w:ascii="Cambria Math" w:hAnsi="Cambria Math"/>
            <w:sz w:val="24"/>
            <w:szCs w:val="24"/>
            <w:lang w:val="en-US"/>
          </w:rPr>
          <m:t>[1+</m:t>
        </m:r>
        <m:sSup>
          <m:sSupPr>
            <m:ctrlPr>
              <w:rPr>
                <w:rFonts w:ascii="Cambria Math" w:hAnsi="Cambria Math"/>
                <w:i/>
                <w:sz w:val="24"/>
                <w:szCs w:val="24"/>
                <w:lang w:val="en-US"/>
              </w:rPr>
            </m:ctrlPr>
          </m:sSupPr>
          <m:e>
            <m:r>
              <w:rPr>
                <w:rFonts w:ascii="Cambria Math" w:hAnsi="Cambria Math"/>
                <w:sz w:val="24"/>
                <w:szCs w:val="24"/>
                <w:lang w:val="en-US"/>
              </w:rPr>
              <m:t>(</m:t>
            </m:r>
            <m:f>
              <m:fPr>
                <m:ctrlPr>
                  <w:rPr>
                    <w:rFonts w:ascii="Cambria Math" w:hAnsi="Cambria Math"/>
                    <w:i/>
                    <w:sz w:val="24"/>
                    <w:szCs w:val="24"/>
                    <w:lang w:val="en-US"/>
                  </w:rPr>
                </m:ctrlPr>
              </m:fPr>
              <m:num>
                <m:r>
                  <w:rPr>
                    <w:rFonts w:ascii="Cambria Math" w:hAnsi="Cambria Math"/>
                    <w:sz w:val="24"/>
                    <w:szCs w:val="24"/>
                    <w:lang w:val="en-US"/>
                  </w:rPr>
                  <m:t>x-</m:t>
                </m:r>
                <m:r>
                  <w:rPr>
                    <w:rFonts w:ascii="Cambria Math" w:hAnsi="Cambria Math"/>
                    <w:sz w:val="24"/>
                    <w:szCs w:val="24"/>
                  </w:rPr>
                  <m:t>μ</m:t>
                </m:r>
              </m:num>
              <m:den>
                <m:r>
                  <w:rPr>
                    <w:rFonts w:ascii="Cambria Math" w:hAnsi="Cambria Math"/>
                    <w:sz w:val="24"/>
                    <w:szCs w:val="24"/>
                    <w:lang w:val="en-US"/>
                  </w:rPr>
                  <m:t>σ</m:t>
                </m:r>
              </m:den>
            </m:f>
            <m:r>
              <w:rPr>
                <w:rFonts w:ascii="Cambria Math" w:hAnsi="Cambria Math"/>
                <w:sz w:val="24"/>
                <w:szCs w:val="24"/>
                <w:lang w:val="en-US"/>
              </w:rPr>
              <m:t>)</m:t>
            </m:r>
          </m:e>
          <m:sup>
            <m:f>
              <m:fPr>
                <m:ctrlPr>
                  <w:rPr>
                    <w:rFonts w:ascii="Cambria Math" w:hAnsi="Cambria Math"/>
                    <w:i/>
                    <w:sz w:val="24"/>
                    <w:szCs w:val="24"/>
                    <w:lang w:val="en-US"/>
                  </w:rPr>
                </m:ctrlPr>
              </m:fPr>
              <m:num>
                <m:r>
                  <w:rPr>
                    <w:rFonts w:ascii="Cambria Math" w:hAnsi="Cambria Math"/>
                    <w:sz w:val="24"/>
                    <w:szCs w:val="24"/>
                    <w:lang w:val="en-US"/>
                  </w:rPr>
                  <m:t>1</m:t>
                </m:r>
              </m:num>
              <m:den>
                <m:r>
                  <w:rPr>
                    <w:rFonts w:ascii="Cambria Math" w:hAnsi="Cambria Math"/>
                    <w:sz w:val="24"/>
                    <w:szCs w:val="24"/>
                    <w:lang w:val="en-US"/>
                  </w:rPr>
                  <m:t>γ</m:t>
                </m:r>
              </m:den>
            </m:f>
          </m:sup>
        </m:sSup>
        <m:sSup>
          <m:sSupPr>
            <m:ctrlPr>
              <w:rPr>
                <w:rFonts w:ascii="Cambria Math" w:hAnsi="Cambria Math"/>
                <w:i/>
                <w:sz w:val="24"/>
                <w:szCs w:val="24"/>
              </w:rPr>
            </m:ctrlPr>
          </m:sSupPr>
          <m:e>
            <m:r>
              <w:rPr>
                <w:rFonts w:ascii="Cambria Math" w:hAnsi="Cambria Math"/>
                <w:sz w:val="24"/>
                <w:szCs w:val="24"/>
                <w:lang w:val="en-US"/>
              </w:rPr>
              <m:t>]</m:t>
            </m:r>
          </m:e>
          <m:sup>
            <m:r>
              <w:rPr>
                <w:rFonts w:ascii="Cambria Math" w:hAnsi="Cambria Math"/>
                <w:sz w:val="24"/>
                <w:szCs w:val="24"/>
                <w:lang w:val="en-US"/>
              </w:rPr>
              <m:t>-</m:t>
            </m:r>
            <m:d>
              <m:dPr>
                <m:ctrlPr>
                  <w:rPr>
                    <w:rFonts w:ascii="Cambria Math" w:hAnsi="Cambria Math"/>
                    <w:i/>
                    <w:sz w:val="24"/>
                    <w:szCs w:val="24"/>
                  </w:rPr>
                </m:ctrlPr>
              </m:dPr>
              <m:e>
                <m:r>
                  <w:rPr>
                    <w:rFonts w:ascii="Cambria Math" w:hAnsi="Cambria Math"/>
                    <w:color w:val="2F75B5"/>
                    <w:sz w:val="24"/>
                    <w:szCs w:val="24"/>
                  </w:rPr>
                  <m:t>α</m:t>
                </m:r>
                <m:r>
                  <w:rPr>
                    <w:rFonts w:ascii="Cambria Math" w:hAnsi="Cambria Math"/>
                    <w:sz w:val="24"/>
                    <w:szCs w:val="24"/>
                    <w:lang w:val="en-US"/>
                  </w:rPr>
                  <m:t>+1</m:t>
                </m:r>
              </m:e>
            </m:d>
          </m:sup>
        </m:sSup>
        <m:r>
          <w:rPr>
            <w:rFonts w:ascii="Cambria Math" w:hAnsi="Cambria Math"/>
            <w:sz w:val="24"/>
            <w:szCs w:val="24"/>
            <w:lang w:val="en-US"/>
          </w:rPr>
          <m:t>(</m:t>
        </m:r>
        <m:sSup>
          <m:sSupPr>
            <m:ctrlPr>
              <w:rPr>
                <w:rFonts w:ascii="Cambria Math" w:hAnsi="Cambria Math"/>
                <w:i/>
                <w:sz w:val="24"/>
                <w:szCs w:val="24"/>
              </w:rPr>
            </m:ctrlPr>
          </m:sSupPr>
          <m:e>
            <m:f>
              <m:fPr>
                <m:ctrlPr>
                  <w:rPr>
                    <w:rFonts w:ascii="Cambria Math" w:hAnsi="Cambria Math"/>
                    <w:i/>
                    <w:sz w:val="24"/>
                    <w:szCs w:val="24"/>
                  </w:rPr>
                </m:ctrlPr>
              </m:fPr>
              <m:num>
                <m:r>
                  <w:rPr>
                    <w:rFonts w:ascii="Cambria Math" w:hAnsi="Cambria Math"/>
                    <w:sz w:val="24"/>
                    <w:szCs w:val="24"/>
                  </w:rPr>
                  <m:t>x</m:t>
                </m:r>
                <m:r>
                  <w:rPr>
                    <w:rFonts w:ascii="Cambria Math" w:hAnsi="Cambria Math"/>
                    <w:sz w:val="24"/>
                    <w:szCs w:val="24"/>
                    <w:lang w:val="en-US"/>
                  </w:rPr>
                  <m:t>-</m:t>
                </m:r>
                <m:r>
                  <w:rPr>
                    <w:rFonts w:ascii="Cambria Math" w:hAnsi="Cambria Math"/>
                    <w:sz w:val="24"/>
                    <w:szCs w:val="24"/>
                  </w:rPr>
                  <m:t>μ</m:t>
                </m:r>
              </m:num>
              <m:den>
                <m:r>
                  <w:rPr>
                    <w:rFonts w:ascii="Cambria Math" w:hAnsi="Cambria Math"/>
                    <w:sz w:val="24"/>
                    <w:szCs w:val="24"/>
                  </w:rPr>
                  <m:t>σ</m:t>
                </m:r>
              </m:den>
            </m:f>
            <m:r>
              <w:rPr>
                <w:rFonts w:ascii="Cambria Math" w:hAnsi="Cambria Math"/>
                <w:sz w:val="24"/>
                <w:szCs w:val="24"/>
                <w:lang w:val="en-US"/>
              </w:rPr>
              <m:t>)</m:t>
            </m:r>
          </m:e>
          <m:sup>
            <m:f>
              <m:fPr>
                <m:ctrlPr>
                  <w:rPr>
                    <w:rFonts w:ascii="Cambria Math" w:hAnsi="Cambria Math"/>
                    <w:i/>
                    <w:sz w:val="24"/>
                    <w:szCs w:val="24"/>
                  </w:rPr>
                </m:ctrlPr>
              </m:fPr>
              <m:num>
                <m:r>
                  <w:rPr>
                    <w:rFonts w:ascii="Cambria Math" w:hAnsi="Cambria Math"/>
                    <w:sz w:val="24"/>
                    <w:szCs w:val="24"/>
                    <w:lang w:val="en-US"/>
                  </w:rPr>
                  <m:t>1</m:t>
                </m:r>
              </m:num>
              <m:den>
                <m:r>
                  <w:rPr>
                    <w:rFonts w:ascii="Cambria Math" w:hAnsi="Cambria Math"/>
                    <w:sz w:val="24"/>
                    <w:szCs w:val="24"/>
                  </w:rPr>
                  <m:t>γ</m:t>
                </m:r>
              </m:den>
            </m:f>
            <m:r>
              <w:rPr>
                <w:rFonts w:ascii="Cambria Math" w:hAnsi="Cambria Math"/>
                <w:sz w:val="24"/>
                <w:szCs w:val="24"/>
                <w:lang w:val="en-US"/>
              </w:rPr>
              <m:t>-1</m:t>
            </m:r>
          </m:sup>
        </m:sSup>
        <m:r>
          <w:rPr>
            <w:rFonts w:ascii="Cambria Math" w:hAnsi="Cambria Math"/>
            <w:sz w:val="24"/>
            <w:szCs w:val="24"/>
            <w:lang w:val="en-US"/>
          </w:rPr>
          <m:t xml:space="preserve">       </m:t>
        </m:r>
        <m:r>
          <w:rPr>
            <w:rFonts w:ascii="Cambria Math" w:hAnsi="Cambria Math"/>
            <w:sz w:val="24"/>
            <w:szCs w:val="24"/>
          </w:rPr>
          <m:t>for</m:t>
        </m:r>
        <m:r>
          <w:rPr>
            <w:rFonts w:ascii="Cambria Math" w:hAnsi="Cambria Math"/>
            <w:sz w:val="24"/>
            <w:szCs w:val="24"/>
            <w:lang w:val="en-US"/>
          </w:rPr>
          <m:t xml:space="preserve">  </m:t>
        </m:r>
        <m:r>
          <w:rPr>
            <w:rFonts w:ascii="Cambria Math" w:hAnsi="Cambria Math"/>
            <w:sz w:val="24"/>
            <w:szCs w:val="24"/>
          </w:rPr>
          <m:t>x</m:t>
        </m:r>
        <m:r>
          <w:rPr>
            <w:rFonts w:ascii="Cambria Math" w:hAnsi="Cambria Math"/>
            <w:sz w:val="24"/>
            <w:szCs w:val="24"/>
            <w:lang w:val="en-US"/>
          </w:rPr>
          <m:t xml:space="preserve">&gt; </m:t>
        </m:r>
        <m:r>
          <w:rPr>
            <w:rFonts w:ascii="Cambria Math" w:hAnsi="Cambria Math"/>
            <w:sz w:val="24"/>
            <w:szCs w:val="24"/>
          </w:rPr>
          <m:t>μ</m:t>
        </m:r>
      </m:oMath>
      <w:r>
        <w:rPr>
          <w:rFonts w:ascii="Times New Roman" w:hAnsi="Times New Roman" w:eastAsia="Times New Roman"/>
          <w:sz w:val="24"/>
          <w:szCs w:val="24"/>
          <w:lang w:val="en-US"/>
        </w:rPr>
        <w:t xml:space="preserve">               (5)</w:t>
      </w:r>
    </w:p>
    <w:p>
      <w:pPr>
        <w:pStyle w:val="PargrafodaLista"/>
        <w:spacing w:line="360" w:lineRule="auto"/>
        <w:ind w:left="142" w:firstLine="566"/>
        <w:jc w:val="both"/>
        <w:rPr>
          <w:rFonts w:ascii="Times New Roman" w:hAnsi="Times New Roman"/>
          <w:sz w:val="24"/>
          <w:szCs w:val="24"/>
          <w:lang w:val="en-US"/>
        </w:rPr>
      </w:pPr>
      <w:r>
        <w:rPr>
          <w:rFonts w:ascii="Times New Roman" w:hAnsi="Times New Roman"/>
          <w:sz w:val="24"/>
          <w:szCs w:val="24"/>
          <w:lang w:val="en-US"/>
        </w:rPr>
        <w:t xml:space="preserve">One can note an additional inequality parameter γ &gt; 0. This parameter reflects the curvature of the distribution and captures inequality and, together with the shape parameter α</w:t>
      </w:r>
      <w:r>
        <w:rPr>
          <w:rFonts w:ascii="Symbol" w:hAnsi="Symbol" w:eastAsia="Symbol" w:cs="Symbol"/>
          <w:sz w:val="24"/>
          <w:szCs w:val="24"/>
          <w:lang w:val="en-US"/>
        </w:rPr>
        <w:t xml:space="preserve">, </w:t>
      </w:r>
      <w:r>
        <w:rPr>
          <w:rFonts w:ascii="Times New Roman" w:hAnsi="Times New Roman" w:eastAsia="Times New Roman" w:cs="Times New Roman"/>
          <w:sz w:val="24"/>
          <w:szCs w:val="24"/>
          <w:lang w:val="en-US"/>
        </w:rPr>
        <w:t xml:space="preserve">determines the tail of the distribution.</w:t>
      </w:r>
      <w:r>
        <w:rPr>
          <w:rFonts w:ascii="Times New Roman" w:hAnsi="Times New Roman"/>
          <w:sz w:val="24"/>
          <w:szCs w:val="24"/>
          <w:lang w:val="en-US"/>
        </w:rPr>
        <w:t xml:space="preserve"> The magnitude of that parameter indicates the local degree of asymmetry and the growth speed of transition between smaller and larger firms. </w:t>
      </w:r>
    </w:p>
    <w:p>
      <w:pPr>
        <w:pStyle w:val="PargrafodaLista"/>
        <w:spacing w:line="360" w:lineRule="auto"/>
        <w:ind w:left="142" w:firstLine="566"/>
        <w:jc w:val="both"/>
        <w:rPr>
          <w:rFonts w:ascii="Times New Roman" w:hAnsi="Times New Roman" w:eastAsia="Times New Roman"/>
          <w:sz w:val="24"/>
          <w:szCs w:val="24"/>
          <w:lang w:val="en-US"/>
        </w:rPr>
      </w:pPr>
      <w:r>
        <w:rPr>
          <w:rFonts w:ascii="Times New Roman" w:hAnsi="Times New Roman"/>
          <w:sz w:val="24"/>
          <w:szCs w:val="24"/>
          <w:lang w:val="en-US"/>
        </w:rPr>
        <w:t xml:space="preserve">The imposition of the restrictions </w:t>
      </w:r>
      <m:oMath>
        <m:r>
          <w:rPr>
            <w:rFonts w:ascii="Cambria Math" w:eastAsia="Times New Roman" w:hAnsi="Cambria Math"/>
            <w:sz w:val="24"/>
            <w:szCs w:val="24"/>
            <w:lang w:val="en-US"/>
          </w:rPr>
          <m:t xml:space="preserve"> </m:t>
        </m:r>
        <m:r>
          <w:rPr>
            <w:rFonts w:ascii="Cambria Math" w:eastAsia="Times New Roman" w:hAnsi="Cambria Math"/>
            <w:sz w:val="24"/>
            <w:szCs w:val="24"/>
          </w:rPr>
          <m:t>σ</m:t>
        </m:r>
        <m:r>
          <w:rPr>
            <w:rFonts w:ascii="Cambria Math" w:eastAsia="Times New Roman" w:hAnsi="Cambria Math"/>
            <w:sz w:val="24"/>
            <w:szCs w:val="24"/>
            <w:lang w:val="en-US"/>
          </w:rPr>
          <m:t>=</m:t>
        </m:r>
        <m:r>
          <w:rPr>
            <w:rFonts w:ascii="Cambria Math" w:eastAsia="Times New Roman" w:hAnsi="Cambria Math"/>
            <w:sz w:val="24"/>
            <w:szCs w:val="24"/>
          </w:rPr>
          <m:t>μ</m:t>
        </m:r>
      </m:oMath>
      <w:r>
        <w:rPr>
          <w:rFonts w:ascii="Times New Roman" w:hAnsi="Times New Roman" w:eastAsia="Times New Roman"/>
          <w:sz w:val="24"/>
          <w:szCs w:val="24"/>
          <w:lang w:val="en-US"/>
        </w:rPr>
        <w:t xml:space="preserve"> and </w:t>
      </w:r>
      <m:oMath>
        <m:r>
          <w:rPr>
            <w:rFonts w:ascii="Cambria Math" w:eastAsia="Times New Roman" w:hAnsi="Cambria Math"/>
            <w:color w:val="2F75B5"/>
            <w:sz w:val="24"/>
            <w:szCs w:val="24"/>
            <w:lang w:val="en-US"/>
          </w:rPr>
          <m:t>γ</m:t>
        </m:r>
        <m:r>
          <w:rPr>
            <w:rFonts w:ascii="Cambria Math" w:eastAsia="Times New Roman" w:hAnsi="Cambria Math"/>
            <w:sz w:val="24"/>
            <w:szCs w:val="24"/>
            <w:lang w:val="en-US"/>
          </w:rPr>
          <m:t>=1</m:t>
        </m:r>
      </m:oMath>
      <w:r>
        <w:rPr>
          <w:rFonts w:ascii="Times New Roman" w:hAnsi="Times New Roman" w:eastAsia="Times New Roman"/>
          <w:sz w:val="24"/>
          <w:szCs w:val="24"/>
          <w:lang w:val="en-US"/>
        </w:rPr>
        <w:t xml:space="preserve"> would readily lead to the Pareto type I model as given by expression (1). Additionally, if α = 1, one would have the stricter case consistent with a Zipf law.</w:t>
      </w:r>
    </w:p>
    <w:p>
      <w:pPr>
        <w:pStyle w:val="PargrafodaLista"/>
        <w:spacing w:line="360" w:lineRule="auto"/>
        <w:ind w:left="142" w:firstLine="566"/>
        <w:jc w:val="both"/>
        <w:rPr>
          <w:rFonts w:ascii="Times New Roman" w:hAnsi="Times New Roman" w:eastAsia="Times New Roman"/>
          <w:sz w:val="24"/>
          <w:szCs w:val="24"/>
          <w:lang w:val="en-US"/>
        </w:rPr>
      </w:pPr>
      <w:r>
        <w:rPr>
          <w:rFonts w:ascii="Times New Roman" w:hAnsi="Times New Roman" w:eastAsia="Times New Roman"/>
          <w:sz w:val="24"/>
          <w:szCs w:val="24"/>
          <w:lang w:val="en-US"/>
        </w:rPr>
        <w:t xml:space="preserve">The author undertakes a testing procedure analogous to those indicated by the aforementioned works but with the more general alternative provided by a Pareto IV model. It can be shown that the corresponding Lagrange multiplier test is given as follows:</w:t>
      </w:r>
    </w:p>
    <w:p>
      <w:pPr>
        <w:pStyle w:val="PargrafodaLista"/>
        <w:tabs>
          <w:tab w:val="left" w:pos="0"/>
        </w:tabs>
        <w:spacing w:line="360" w:lineRule="auto"/>
        <w:ind w:left="0"/>
        <w:jc w:val="center"/>
        <w:rPr>
          <w:rFonts w:ascii="Times New Roman" w:hAnsi="Times New Roman"/>
          <w:sz w:val="24"/>
          <w:szCs w:val="24"/>
          <w:lang w:val="en-US"/>
        </w:rPr>
      </w:pPr>
      <m:oMath>
        <m:r>
          <w:rPr>
            <w:rFonts w:ascii="Cambria Math" w:eastAsia="Times New Roman" w:hAnsi="Cambria Math"/>
            <w:sz w:val="24"/>
            <w:szCs w:val="24"/>
          </w:rPr>
          <m:t>PWL</m:t>
        </m:r>
        <m:r>
          <w:rPr>
            <w:rFonts w:ascii="Cambria Math" w:eastAsia="Times New Roman" w:hAnsi="Cambria Math"/>
            <w:sz w:val="24"/>
            <w:szCs w:val="24"/>
            <w:lang w:val="en-US"/>
          </w:rPr>
          <m:t>=</m:t>
        </m:r>
        <m:sSup>
          <m:sSupPr>
            <m:ctrlPr>
              <w:rPr>
                <w:rFonts w:ascii="Cambria Math" w:eastAsia="Times New Roman" w:hAnsi="Cambria Math"/>
                <w:i/>
                <w:sz w:val="24"/>
                <w:szCs w:val="24"/>
              </w:rPr>
            </m:ctrlPr>
          </m:sSupPr>
          <m:e>
            <m:acc>
              <m:accPr>
                <m:ctrlPr>
                  <w:rPr>
                    <w:rFonts w:ascii="Cambria Math" w:eastAsia="Times New Roman" w:hAnsi="Cambria Math"/>
                    <w:i/>
                    <w:sz w:val="24"/>
                    <w:szCs w:val="24"/>
                  </w:rPr>
                </m:ctrlPr>
              </m:accPr>
              <m:e>
                <m:r>
                  <w:rPr>
                    <w:rFonts w:ascii="Cambria Math" w:eastAsia="Times New Roman" w:hAnsi="Cambria Math"/>
                    <w:sz w:val="24"/>
                    <w:szCs w:val="24"/>
                  </w:rPr>
                  <m:t>d</m:t>
                </m:r>
              </m:e>
            </m:acc>
          </m:e>
          <m:sup>
            <m:r>
              <w:rPr>
                <w:rFonts w:ascii="Cambria Math" w:eastAsia="Times New Roman" w:hAnsi="Cambria Math"/>
                <w:sz w:val="24"/>
                <w:szCs w:val="24"/>
                <w:lang w:val="en-US"/>
              </w:rPr>
              <m:t>´</m:t>
            </m:r>
          </m:sup>
        </m:sSup>
        <m:sSup>
          <m:sSupPr>
            <m:ctrlPr>
              <w:rPr>
                <w:rFonts w:ascii="Cambria Math" w:eastAsia="Times New Roman" w:hAnsi="Cambria Math"/>
                <w:i/>
                <w:sz w:val="24"/>
                <w:szCs w:val="24"/>
              </w:rPr>
            </m:ctrlPr>
          </m:sSupPr>
          <m:e>
            <m:acc>
              <m:accPr>
                <m:ctrlPr>
                  <w:rPr>
                    <w:rFonts w:ascii="Cambria Math" w:eastAsia="Times New Roman" w:hAnsi="Cambria Math"/>
                    <w:i/>
                    <w:sz w:val="24"/>
                    <w:szCs w:val="24"/>
                  </w:rPr>
                </m:ctrlPr>
              </m:accPr>
              <m:e>
                <m:r>
                  <w:rPr>
                    <w:rFonts w:ascii="Cambria Math" w:eastAsia="Times New Roman" w:hAnsi="Cambria Math"/>
                    <w:sz w:val="24"/>
                    <w:szCs w:val="24"/>
                  </w:rPr>
                  <m:t>I</m:t>
                </m:r>
              </m:e>
            </m:acc>
          </m:e>
          <m:sup>
            <m:r>
              <w:rPr>
                <w:rFonts w:ascii="Cambria Math" w:eastAsia="Times New Roman" w:hAnsi="Cambria Math"/>
                <w:sz w:val="24"/>
                <w:szCs w:val="24"/>
                <w:lang w:val="en-US"/>
              </w:rPr>
              <m:t>-1</m:t>
            </m:r>
          </m:sup>
        </m:sSup>
        <m:acc>
          <m:accPr>
            <m:ctrlPr>
              <w:rPr>
                <w:rFonts w:ascii="Cambria Math" w:eastAsia="Times New Roman" w:hAnsi="Cambria Math"/>
                <w:i/>
                <w:sz w:val="24"/>
                <w:szCs w:val="24"/>
              </w:rPr>
            </m:ctrlPr>
          </m:accPr>
          <m:e>
            <m:r>
              <w:rPr>
                <w:rFonts w:ascii="Cambria Math" w:eastAsia="Times New Roman" w:hAnsi="Cambria Math"/>
                <w:sz w:val="24"/>
                <w:szCs w:val="24"/>
              </w:rPr>
              <m:t>d</m:t>
            </m:r>
          </m:e>
        </m:acc>
        <m:r>
          <w:rPr>
            <w:rFonts w:ascii="Cambria Math" w:eastAsia="Times New Roman" w:hAnsi="Cambria Math"/>
            <w:sz w:val="24"/>
            <w:szCs w:val="24"/>
            <w:lang w:val="en-US"/>
          </w:rPr>
          <m:t xml:space="preserve">  </m:t>
        </m:r>
        <m:sSub>
          <m:sSubPr>
            <m:ctrlPr>
              <w:rPr>
                <w:rFonts w:ascii="Cambria Math" w:eastAsia="Times New Roman" w:hAnsi="Cambria Math"/>
                <w:i/>
                <w:sz w:val="24"/>
                <w:szCs w:val="24"/>
              </w:rPr>
            </m:ctrlPr>
          </m:sSubPr>
          <m:e>
            <m:r>
              <w:rPr>
                <w:rFonts w:ascii="Cambria Math" w:hAnsi="Cambria Math"/>
                <w:sz w:val="24"/>
                <w:szCs w:val="24"/>
                <w:lang w:val="en-US"/>
              </w:rPr>
              <m:t>~</m:t>
            </m:r>
          </m:e>
          <m:sub>
            <m:r>
              <w:rPr>
                <w:rFonts w:ascii="Cambria Math" w:eastAsia="Times New Roman" w:hAnsi="Cambria Math"/>
                <w:sz w:val="24"/>
                <w:szCs w:val="24"/>
              </w:rPr>
              <m:t>asy</m:t>
            </m:r>
          </m:sub>
        </m:sSub>
        <m:sSup>
          <m:sSupPr>
            <m:ctrlPr>
              <w:rPr>
                <w:rFonts w:ascii="Cambria Math" w:hAnsi="Cambria Math"/>
                <w:i/>
                <w:sz w:val="24"/>
                <w:szCs w:val="24"/>
              </w:rPr>
            </m:ctrlPr>
          </m:sSupPr>
          <m:e>
            <m:r>
              <w:rPr>
                <w:rFonts w:ascii="Cambria Math" w:hAnsi="Cambria Math"/>
                <w:sz w:val="24"/>
                <w:szCs w:val="24"/>
              </w:rPr>
              <m:t xml:space="preserve">   </m:t>
            </m:r>
            <m:r>
              <w:rPr>
                <w:rFonts w:ascii="Cambria Math" w:hAnsi="Cambria Math"/>
                <w:color w:val="2F75B5"/>
                <w:sz w:val="24"/>
                <w:szCs w:val="24"/>
              </w:rPr>
              <m:t>χ</m:t>
            </m:r>
          </m:e>
          <m:sup>
            <m:r>
              <w:rPr>
                <w:rFonts w:ascii="Cambria Math" w:hAnsi="Cambria Math"/>
                <w:sz w:val="24"/>
                <w:szCs w:val="24"/>
              </w:rPr>
              <m:t>2</m:t>
            </m:r>
          </m:sup>
        </m:sSup>
        <m:r>
          <w:rPr>
            <w:rFonts w:ascii="Cambria Math" w:hAnsi="Cambria Math"/>
            <w:sz w:val="24"/>
            <w:szCs w:val="24"/>
            <w:lang w:val="en-US"/>
          </w:rPr>
          <m:t>(2)</m:t>
        </m:r>
        <m:r>
          <w:rPr>
            <w:rFonts w:ascii="Cambria Math" w:eastAsia="Times New Roman" w:hAnsi="Cambria Math"/>
            <w:sz w:val="24"/>
            <w:szCs w:val="24"/>
            <w:lang w:val="en-US"/>
          </w:rPr>
          <m:t xml:space="preserve">   </m:t>
        </m:r>
        <m:r>
          <w:rPr>
            <w:rFonts w:ascii="Cambria Math" w:eastAsia="Times New Roman" w:hAnsi="Cambria Math"/>
            <w:sz w:val="24"/>
            <w:szCs w:val="24"/>
          </w:rPr>
          <m:t>under</m:t>
        </m:r>
        <m:r>
          <w:rPr>
            <w:rFonts w:ascii="Cambria Math" w:eastAsia="Times New Roman" w:hAnsi="Cambria Math"/>
            <w:sz w:val="24"/>
            <w:szCs w:val="24"/>
            <w:lang w:val="en-US"/>
          </w:rPr>
          <m:t xml:space="preserve"> </m:t>
        </m:r>
        <m:sSub>
          <m:sSubPr>
            <m:ctrlPr>
              <w:rPr>
                <w:rFonts w:ascii="Cambria Math" w:eastAsia="Times New Roman" w:hAnsi="Cambria Math"/>
                <w:i/>
                <w:sz w:val="24"/>
                <w:szCs w:val="24"/>
              </w:rPr>
            </m:ctrlPr>
          </m:sSubPr>
          <m:e>
            <m:r>
              <w:rPr>
                <w:rFonts w:ascii="Cambria Math" w:eastAsia="Times New Roman" w:hAnsi="Cambria Math"/>
                <w:sz w:val="24"/>
                <w:szCs w:val="24"/>
              </w:rPr>
              <m:t>H</m:t>
            </m:r>
          </m:e>
          <m:sub>
            <m:r>
              <w:rPr>
                <w:rFonts w:ascii="Cambria Math" w:eastAsia="Times New Roman" w:hAnsi="Cambria Math"/>
                <w:sz w:val="24"/>
                <w:szCs w:val="24"/>
                <w:lang w:val="en-US"/>
              </w:rPr>
              <m:t>0</m:t>
            </m:r>
          </m:sub>
        </m:sSub>
        <m:r>
          <w:rPr>
            <w:rFonts w:ascii="Cambria Math" w:eastAsia="Times New Roman" w:hAnsi="Cambria Math"/>
            <w:sz w:val="24"/>
            <w:szCs w:val="24"/>
            <w:lang w:val="en-US"/>
          </w:rPr>
          <m:t>:</m:t>
        </m:r>
        <m:r>
          <w:rPr>
            <w:rFonts w:ascii="Cambria Math" w:eastAsia="Times New Roman" w:hAnsi="Cambria Math"/>
            <w:sz w:val="24"/>
            <w:szCs w:val="24"/>
          </w:rPr>
          <m:t>σ</m:t>
        </m:r>
        <m:r>
          <w:rPr>
            <w:rFonts w:ascii="Cambria Math" w:eastAsia="Times New Roman" w:hAnsi="Cambria Math"/>
            <w:sz w:val="24"/>
            <w:szCs w:val="24"/>
            <w:lang w:val="en-US"/>
          </w:rPr>
          <m:t>=</m:t>
        </m:r>
        <m:r>
          <w:rPr>
            <w:rFonts w:ascii="Cambria Math" w:eastAsia="Times New Roman" w:hAnsi="Cambria Math"/>
            <w:sz w:val="24"/>
            <w:szCs w:val="24"/>
          </w:rPr>
          <m:t>μ</m:t>
        </m:r>
        <m:r>
          <m:rPr>
            <m:sty m:val="p"/>
          </m:rPr>
          <w:rPr>
            <w:rFonts w:ascii="Cambria Math" w:eastAsia="Times New Roman" w:hAnsi="Cambria Math"/>
            <w:sz w:val="24"/>
            <w:szCs w:val="24"/>
            <w:lang w:val="en-US"/>
          </w:rPr>
          <m:t xml:space="preserve"> ,</m:t>
        </m:r>
        <m:r>
          <m:rPr>
            <m:sty m:val="p"/>
          </m:rPr>
          <w:rPr>
            <w:rFonts w:ascii="Cambria Math" w:eastAsia="Times New Roman" w:hAnsi="Cambria Math"/>
            <w:sz w:val="24"/>
            <w:szCs w:val="24"/>
          </w:rPr>
          <m:t>γ</m:t>
        </m:r>
        <m:r>
          <m:rPr>
            <m:sty m:val="p"/>
          </m:rPr>
          <w:rPr>
            <w:rFonts w:ascii="Cambria Math" w:eastAsia="Times New Roman" w:hAnsi="Cambria Math"/>
            <w:sz w:val="24"/>
            <w:szCs w:val="24"/>
            <w:lang w:val="en-US"/>
          </w:rPr>
          <m:t>=1</m:t>
        </m:r>
      </m:oMath>
      <w:r>
        <w:rPr>
          <w:rFonts w:ascii="Times New Roman" w:hAnsi="Times New Roman" w:eastAsia="Times New Roman"/>
          <w:sz w:val="24"/>
          <w:szCs w:val="24"/>
          <w:lang w:val="en-US"/>
        </w:rPr>
        <w:t xml:space="preserve">          (6)</w:t>
      </w:r>
    </w:p>
    <w:p>
      <w:pPr>
        <w:pStyle w:val="PargrafodaLista"/>
        <w:tabs>
          <w:tab w:val="left" w:pos="0"/>
        </w:tabs>
        <w:spacing w:line="360" w:lineRule="auto"/>
        <w:ind w:left="142" w:firstLine="566"/>
        <w:jc w:val="both"/>
        <w:rPr>
          <w:rFonts w:ascii="Times New Roman" w:hAnsi="Times New Roman"/>
          <w:sz w:val="24"/>
          <w:szCs w:val="24"/>
          <w:lang w:val="en-US"/>
        </w:rPr>
      </w:pPr>
      <w:r>
        <w:rPr>
          <w:rFonts w:ascii="Times New Roman" w:hAnsi="Times New Roman"/>
          <w:sz w:val="24"/>
          <w:szCs w:val="24"/>
          <w:lang w:val="en-US"/>
        </w:rPr>
        <w:t xml:space="preserve">Where </w:t>
      </w:r>
      <m:oMath>
        <m:acc>
          <m:accPr>
            <m:ctrlPr>
              <w:rPr>
                <w:rFonts w:ascii="Cambria Math" w:hAnsi="Cambria Math"/>
                <w:i/>
                <w:sz w:val="24"/>
                <w:szCs w:val="24"/>
              </w:rPr>
            </m:ctrlPr>
          </m:accPr>
          <m:e>
            <m:r>
              <w:rPr>
                <w:rFonts w:ascii="Cambria Math" w:hAnsi="Cambria Math"/>
                <w:sz w:val="24"/>
                <w:szCs w:val="24"/>
              </w:rPr>
              <m:t>d</m:t>
            </m:r>
          </m:e>
        </m:acc>
        <m:r>
          <w:rPr>
            <w:rFonts w:ascii="Cambria Math" w:hAnsi="Cambria Math"/>
            <w:sz w:val="24"/>
            <w:szCs w:val="24"/>
            <w:lang w:val="en-US"/>
          </w:rPr>
          <m:t xml:space="preserve"> </m:t>
        </m:r>
      </m:oMath>
      <w:r>
        <w:rPr>
          <w:rFonts w:ascii="Times New Roman" w:hAnsi="Times New Roman" w:eastAsia="Times New Roman"/>
          <w:sz w:val="24"/>
          <w:szCs w:val="24"/>
          <w:lang w:val="en-US"/>
        </w:rPr>
        <w:t xml:space="preserve">= (d1,d2,0)′ with </w:t>
      </w:r>
    </w:p>
    <w:p>
      <w:pPr>
        <w:pStyle w:val="PargrafodaLista"/>
        <w:spacing w:line="360" w:lineRule="auto"/>
        <w:ind w:left="0"/>
        <w:jc w:val="center"/>
        <w:rPr>
          <w:rFonts w:ascii="Times New Roman" w:hAnsi="Times New Roman"/>
          <w:sz w:val="24"/>
          <w:szCs w:val="24"/>
          <w:lang w:val="en-US"/>
        </w:rPr>
      </w:pPr>
      <m:oMath>
        <m:sSub>
          <m:sSubPr>
            <m:ctrlPr>
              <w:rPr>
                <w:rFonts w:ascii="Cambria Math" w:hAnsi="Cambria Math"/>
                <w:i/>
              </w:rPr>
            </m:ctrlPr>
          </m:sSubPr>
          <m:e>
            <m:r>
              <w:rPr>
                <w:rFonts w:ascii="Cambria Math" w:hAnsi="Cambria Math"/>
              </w:rPr>
              <m:t xml:space="preserve">d</m:t>
            </m:r>
          </m:e>
          <m:sub>
            <m:r>
              <w:rPr>
                <w:rFonts w:ascii="Cambria Math" w:hAnsi="Cambria Math"/>
              </w:rPr>
              <m:t xml:space="preserve">1</m:t>
            </m:r>
          </m:sub>
        </m:sSub>
        <m:r>
          <w:rPr>
            <w:rFonts w:ascii="Cambria Math" w:hAnsi="Cambria Math"/>
          </w:rPr>
          <m:t xml:space="preserve">=</m:t>
        </m:r>
        <m:f>
          <m:fPr>
            <m:ctrlPr>
              <w:rPr>
                <w:rFonts w:ascii="Cambria Math" w:hAnsi="Cambria Math"/>
                <w:i/>
              </w:rPr>
            </m:ctrlPr>
          </m:fPr>
          <m:num>
            <m:r>
              <w:rPr>
                <w:rFonts w:ascii="Cambria Math" w:hAnsi="Cambria Math"/>
              </w:rPr>
              <m:t xml:space="preserve">n</m:t>
            </m:r>
            <m:acc>
              <m:accPr>
                <m:chr m:val="̂"/>
                <m:ctrlPr>
                  <w:rPr>
                    <w:rFonts w:ascii="Cambria Math" w:hAnsi="Cambria Math"/>
                    <w:i/>
                  </w:rPr>
                </m:ctrlPr>
              </m:accPr>
              <m:e>
                <m:r>
                  <w:rPr>
                    <w:rFonts w:ascii="Cambria Math" w:hAnsi="Cambria Math"/>
                  </w:rPr>
                  <m:t xml:space="preserve">α</m:t>
                </m:r>
              </m:e>
            </m:acc>
          </m:num>
          <m:den>
            <m:r>
              <w:rPr>
                <w:rFonts w:ascii="Cambria Math" w:hAnsi="Cambria Math"/>
              </w:rPr>
              <m:t xml:space="preserve">μ</m:t>
            </m:r>
          </m:den>
        </m:f>
        <m:r>
          <w:rPr>
            <w:rFonts w:ascii="Cambria Math" w:hAnsi="Cambria Math"/>
          </w:rPr>
          <m:t xml:space="preserve">-(</m:t>
        </m:r>
        <m:acc>
          <m:accPr>
            <m:chr m:val="̂"/>
            <m:ctrlPr>
              <w:rPr>
                <w:rFonts w:ascii="Cambria Math" w:hAnsi="Cambria Math"/>
                <w:i/>
              </w:rPr>
            </m:ctrlPr>
          </m:accPr>
          <m:e>
            <m:r>
              <w:rPr>
                <w:rFonts w:ascii="Cambria Math" w:hAnsi="Cambria Math"/>
              </w:rPr>
              <m:t xml:space="preserve">α</m:t>
            </m:r>
          </m:e>
        </m:acc>
        <m:r>
          <w:rPr>
            <w:rFonts w:ascii="Cambria Math" w:hAnsi="Cambria Math"/>
          </w:rPr>
          <m:t xml:space="preserve">+1)</m:t>
        </m:r>
        <m:nary>
          <m:naryPr>
            <m:chr m:val="∑"/>
            <m:ctrlPr>
              <w:rPr>
                <w:rFonts w:ascii="Cambria Math" w:hAnsi="Cambria Math"/>
                <w:i/>
              </w:rPr>
            </m:ctrlPr>
          </m:naryPr>
          <m:sub>
            <m:r>
              <w:rPr>
                <w:rFonts w:ascii="Cambria Math" w:hAnsi="Cambria Math"/>
              </w:rPr>
              <m:t xml:space="preserve">i=1</m:t>
            </m:r>
          </m:sub>
          <m:sup>
            <m:r>
              <w:rPr>
                <w:rFonts w:ascii="Cambria Math" w:hAnsi="Cambria Math"/>
              </w:rPr>
              <m:t xml:space="preserve">n</m:t>
            </m:r>
          </m:sup>
          <m:e>
            <m:f>
              <m:fPr>
                <m:ctrlPr>
                  <w:rPr>
                    <w:rFonts w:ascii="Cambria Math" w:hAnsi="Cambria Math"/>
                    <w:i/>
                  </w:rPr>
                </m:ctrlPr>
              </m:fPr>
              <m:num>
                <m:r>
                  <w:rPr>
                    <w:rFonts w:ascii="Cambria Math" w:hAnsi="Cambria Math"/>
                  </w:rPr>
                  <m:t xml:space="preserve">1</m:t>
                </m:r>
              </m:num>
              <m:den>
                <m:sSub>
                  <m:sSubPr>
                    <m:ctrlPr>
                      <w:rPr>
                        <w:rFonts w:ascii="Cambria Math" w:hAnsi="Cambria Math"/>
                        <w:i/>
                      </w:rPr>
                    </m:ctrlPr>
                  </m:sSubPr>
                  <m:e>
                    <m:r>
                      <w:rPr>
                        <w:rFonts w:ascii="Cambria Math" w:hAnsi="Cambria Math"/>
                      </w:rPr>
                      <m:t xml:space="preserve">x</m:t>
                    </m:r>
                  </m:e>
                  <m:sub>
                    <m:r>
                      <w:rPr>
                        <w:rFonts w:ascii="Cambria Math" w:hAnsi="Cambria Math"/>
                      </w:rPr>
                      <m:t xml:space="preserve">i</m:t>
                    </m:r>
                  </m:sub>
                </m:sSub>
              </m:den>
            </m:f>
          </m:e>
        </m:nary>
      </m:oMath>
      <w:r>
        <w:rPr>
          <w:rFonts w:ascii="Times New Roman" w:hAnsi="Times New Roman"/>
          <w:sz w:val="24"/>
          <w:szCs w:val="24"/>
          <w:lang w:val="en-US"/>
        </w:rPr>
        <w:t xml:space="preserve">                                           (7)</w:t>
      </w:r>
    </w:p>
    <w:p>
      <w:pPr>
        <w:pStyle w:val="PargrafodaLista"/>
        <w:spacing w:line="360" w:lineRule="auto"/>
        <w:ind w:left="0"/>
        <w:jc w:val="center"/>
        <w:rPr>
          <w:rFonts w:ascii="Times New Roman" w:hAnsi="Times New Roman" w:eastAsia="Times New Roman"/>
          <w:sz w:val="24"/>
          <w:szCs w:val="24"/>
          <w:lang w:val="en-US"/>
        </w:rPr>
      </w:pP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lang w:val="en-US"/>
              </w:rPr>
              <m:t>2</m:t>
            </m:r>
          </m:sub>
        </m:sSub>
        <m:r>
          <w:rPr>
            <w:rFonts w:ascii="Cambria Math" w:hAnsi="Cambria Math"/>
            <w:sz w:val="24"/>
            <w:szCs w:val="24"/>
            <w:lang w:val="en-US"/>
          </w:rPr>
          <m:t>=-</m:t>
        </m:r>
        <m:r>
          <w:rPr>
            <w:rFonts w:ascii="Cambria Math" w:hAnsi="Cambria Math"/>
            <w:sz w:val="24"/>
            <w:szCs w:val="24"/>
          </w:rPr>
          <m:t>n</m:t>
        </m:r>
        <m:r>
          <w:rPr>
            <w:rFonts w:ascii="Cambria Math" w:hAnsi="Cambria Math"/>
            <w:sz w:val="24"/>
            <w:szCs w:val="24"/>
            <w:lang w:val="en-US"/>
          </w:rPr>
          <m:t>+</m:t>
        </m:r>
        <m:acc>
          <m:accPr>
            <m:ctrlPr>
              <w:rPr>
                <w:rFonts w:ascii="Cambria Math" w:hAnsi="Cambria Math"/>
                <w:i/>
                <w:sz w:val="24"/>
                <w:szCs w:val="24"/>
              </w:rPr>
            </m:ctrlPr>
          </m:accPr>
          <m:e>
            <m:r>
              <w:rPr>
                <w:rFonts w:ascii="Cambria Math" w:hAnsi="Cambria Math"/>
                <w:color w:val="2F75B5"/>
                <w:sz w:val="24"/>
                <w:szCs w:val="24"/>
              </w:rPr>
              <m:t>α</m:t>
            </m:r>
          </m:e>
        </m:acc>
        <m:r>
          <w:rPr>
            <w:rFonts w:ascii="Cambria Math" w:hAnsi="Cambria Math"/>
            <w:sz w:val="24"/>
            <w:szCs w:val="24"/>
            <w:lang w:val="en-US"/>
          </w:rPr>
          <m:t xml:space="preserve"> </m:t>
        </m:r>
        <m:nary>
          <m:naryPr>
            <m:chr m:val="∑"/>
            <m:limLoc m:val="undOvr"/>
            <m:ctrlPr>
              <w:rPr>
                <w:rFonts w:ascii="Cambria Math" w:hAnsi="Cambria Math"/>
                <w:i/>
                <w:sz w:val="24"/>
                <w:szCs w:val="24"/>
              </w:rPr>
            </m:ctrlPr>
          </m:naryPr>
          <m:sub>
            <m:r>
              <w:rPr>
                <w:rFonts w:ascii="Cambria Math" w:hAnsi="Cambria Math"/>
                <w:sz w:val="24"/>
                <w:szCs w:val="24"/>
              </w:rPr>
              <m:t>i</m:t>
            </m:r>
            <m:r>
              <w:rPr>
                <w:rFonts w:ascii="Cambria Math" w:hAnsi="Cambria Math"/>
                <w:sz w:val="24"/>
                <w:szCs w:val="24"/>
                <w:lang w:val="en-US"/>
              </w:rPr>
              <m:t>=1</m:t>
            </m:r>
          </m:sub>
          <m:sup>
            <m:r>
              <w:rPr>
                <w:rFonts w:ascii="Cambria Math" w:hAnsi="Cambria Math"/>
                <w:sz w:val="24"/>
                <w:szCs w:val="24"/>
              </w:rPr>
              <m:t>n</m:t>
            </m:r>
          </m:sup>
          <m:e>
            <m:r>
              <w:rPr>
                <w:rFonts w:ascii="Cambria Math" w:hAnsi="Cambria Math"/>
                <w:sz w:val="24"/>
                <w:szCs w:val="24"/>
              </w:rPr>
              <m:t>ln</m:t>
            </m:r>
          </m:e>
        </m:nary>
        <m:r>
          <w:rPr>
            <w:rFonts w:ascii="Cambria Math" w:hAnsi="Cambria Math"/>
            <w:sz w:val="24"/>
            <w:szCs w:val="24"/>
            <w:lang w:val="en-US"/>
          </w:rPr>
          <m:t xml:space="preserve"> </m:t>
        </m:r>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lang w:val="en-US"/>
                  </w:rPr>
                  <m:t>-</m:t>
                </m:r>
                <m:r>
                  <w:rPr>
                    <w:rFonts w:ascii="Cambria Math" w:hAnsi="Cambria Math"/>
                    <w:sz w:val="24"/>
                    <w:szCs w:val="24"/>
                  </w:rPr>
                  <m:t>μ</m:t>
                </m:r>
              </m:num>
              <m:den>
                <m:r>
                  <w:rPr>
                    <w:rFonts w:ascii="Cambria Math" w:hAnsi="Cambria Math"/>
                    <w:sz w:val="24"/>
                    <w:szCs w:val="24"/>
                  </w:rPr>
                  <m:t>μ</m:t>
                </m:r>
              </m:den>
            </m:f>
          </m:e>
        </m:d>
        <m:r>
          <w:rPr>
            <w:rFonts w:ascii="Cambria Math" w:hAnsi="Cambria Math"/>
            <w:sz w:val="24"/>
            <w:szCs w:val="24"/>
            <w:lang w:val="en-US"/>
          </w:rPr>
          <m:t>-(</m:t>
        </m:r>
        <m:acc>
          <m:accPr>
            <m:ctrlPr>
              <w:rPr>
                <w:rFonts w:ascii="Cambria Math" w:hAnsi="Cambria Math"/>
                <w:i/>
                <w:sz w:val="24"/>
                <w:szCs w:val="24"/>
              </w:rPr>
            </m:ctrlPr>
          </m:accPr>
          <m:e>
            <m:r>
              <w:rPr>
                <w:rFonts w:ascii="Cambria Math" w:hAnsi="Cambria Math"/>
                <w:color w:val="2F75B5"/>
                <w:sz w:val="24"/>
                <w:szCs w:val="24"/>
              </w:rPr>
              <m:t>α</m:t>
            </m:r>
          </m:e>
        </m:acc>
        <m:r>
          <w:rPr>
            <w:rFonts w:ascii="Cambria Math" w:hAnsi="Cambria Math"/>
            <w:sz w:val="24"/>
            <w:szCs w:val="24"/>
            <w:lang w:val="en-US"/>
          </w:rPr>
          <m:t>+1)</m:t>
        </m:r>
        <m:nary>
          <m:naryPr>
            <m:chr m:val="∑"/>
            <m:limLoc m:val="undOvr"/>
            <m:ctrlPr>
              <w:rPr>
                <w:rFonts w:ascii="Cambria Math" w:hAnsi="Cambria Math"/>
                <w:i/>
                <w:sz w:val="24"/>
                <w:szCs w:val="24"/>
              </w:rPr>
            </m:ctrlPr>
          </m:naryPr>
          <m:sub>
            <m:r>
              <w:rPr>
                <w:rFonts w:ascii="Cambria Math" w:hAnsi="Cambria Math"/>
                <w:sz w:val="24"/>
                <w:szCs w:val="24"/>
              </w:rPr>
              <m:t>i</m:t>
            </m:r>
            <m:r>
              <w:rPr>
                <w:rFonts w:ascii="Cambria Math" w:hAnsi="Cambria Math"/>
                <w:sz w:val="24"/>
                <w:szCs w:val="24"/>
                <w:lang w:val="en-US"/>
              </w:rPr>
              <m:t>=1</m:t>
            </m:r>
          </m:sub>
          <m:sup>
            <m:r>
              <w:rPr>
                <w:rFonts w:ascii="Cambria Math" w:hAnsi="Cambria Math"/>
                <w:sz w:val="24"/>
                <w:szCs w:val="24"/>
              </w:rPr>
              <m:t>n</m:t>
            </m:r>
          </m:sup>
          <m:e>
            <m:f>
              <m:fPr>
                <m:ctrlPr>
                  <w:rPr>
                    <w:rFonts w:ascii="Cambria Math" w:hAnsi="Cambria Math"/>
                    <w:i/>
                    <w:sz w:val="24"/>
                    <w:szCs w:val="24"/>
                  </w:rPr>
                </m:ctrlPr>
              </m:fPr>
              <m:num>
                <m:r>
                  <w:rPr>
                    <w:rFonts w:ascii="Cambria Math" w:hAnsi="Cambria Math"/>
                    <w:sz w:val="24"/>
                    <w:szCs w:val="24"/>
                  </w:rPr>
                  <m:t>μ</m:t>
                </m:r>
              </m:num>
              <m:den>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den>
            </m:f>
          </m:e>
        </m:nary>
        <m:r>
          <w:rPr>
            <w:rFonts w:ascii="Cambria Math" w:hAnsi="Cambria Math"/>
            <w:sz w:val="24"/>
            <w:szCs w:val="24"/>
          </w:rPr>
          <m:t>ln</m:t>
        </m:r>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lang w:val="en-US"/>
                  </w:rPr>
                  <m:t>-</m:t>
                </m:r>
                <m:r>
                  <w:rPr>
                    <w:rFonts w:ascii="Cambria Math" w:hAnsi="Cambria Math"/>
                    <w:sz w:val="24"/>
                    <w:szCs w:val="24"/>
                  </w:rPr>
                  <m:t>μ</m:t>
                </m:r>
              </m:num>
              <m:den>
                <m:r>
                  <w:rPr>
                    <w:rFonts w:ascii="Cambria Math" w:hAnsi="Cambria Math"/>
                    <w:sz w:val="24"/>
                    <w:szCs w:val="24"/>
                  </w:rPr>
                  <m:t>μ</m:t>
                </m:r>
              </m:den>
            </m:f>
          </m:e>
        </m:d>
      </m:oMath>
      <w:r>
        <w:rPr>
          <w:rFonts w:ascii="Times New Roman" w:hAnsi="Times New Roman" w:eastAsia="Times New Roman"/>
          <w:sz w:val="24"/>
          <w:szCs w:val="24"/>
          <w:lang w:val="en-US"/>
        </w:rPr>
        <w:t xml:space="preserve">            (8)</w:t>
      </w:r>
    </w:p>
    <w:p>
      <w:pPr>
        <w:pStyle w:val="PargrafodaLista"/>
        <w:spacing w:line="360" w:lineRule="auto"/>
        <w:ind w:left="142" w:firstLine="566"/>
        <w:jc w:val="both"/>
        <w:rPr>
          <w:rFonts w:ascii="Times New Roman" w:hAnsi="Times New Roman"/>
          <w:sz w:val="24"/>
          <w:szCs w:val="24"/>
          <w:lang w:val="en-US"/>
        </w:rPr>
      </w:pPr>
      <w:r>
        <w:rPr>
          <w:rFonts w:ascii="Times New Roman" w:hAnsi="Times New Roman"/>
          <w:sz w:val="24"/>
          <w:szCs w:val="24"/>
          <w:lang w:val="en-US"/>
        </w:rPr>
        <w:t xml:space="preserve">Here </w:t>
      </w:r>
      <m:oMath>
        <m:acc>
          <m:accPr>
            <m:chr m:val="̂"/>
            <m:ctrlPr>
              <w:rPr>
                <w:rFonts w:ascii="Cambria Math" w:hAnsi="Cambria Math"/>
                <w:i/>
              </w:rPr>
            </m:ctrlPr>
          </m:accPr>
          <m:e>
            <m:r>
              <w:rPr>
                <w:rFonts w:ascii="Cambria Math" w:hAnsi="Cambria Math"/>
              </w:rPr>
              <m:t xml:space="preserve">α</m:t>
            </m:r>
          </m:e>
        </m:acc>
      </m:oMath>
      <w:r>
        <w:rPr>
          <w:rFonts w:ascii="Times New Roman" w:hAnsi="Times New Roman"/>
          <w:sz w:val="24"/>
          <w:szCs w:val="24"/>
          <w:lang w:val="en-US"/>
        </w:rPr>
        <w:t xml:space="preserve"> denotes the restricted Pareto type I shape estimate, and </w:t>
      </w:r>
      <m:oMath>
        <m:sSup>
          <m:sSupPr>
            <m:ctrlPr>
              <w:rPr>
                <w:rFonts w:ascii="Cambria Math" w:eastAsia="Times New Roman" w:hAnsi="Cambria Math"/>
                <w:i/>
                <w:sz w:val="24"/>
                <w:szCs w:val="24"/>
              </w:rPr>
            </m:ctrlPr>
          </m:sSupPr>
          <m:e>
            <m:acc>
              <m:accPr>
                <m:ctrlPr>
                  <w:rPr>
                    <w:rFonts w:ascii="Cambria Math" w:eastAsia="Times New Roman" w:hAnsi="Cambria Math"/>
                    <w:i/>
                    <w:sz w:val="24"/>
                    <w:szCs w:val="24"/>
                  </w:rPr>
                </m:ctrlPr>
              </m:accPr>
              <m:e>
                <m:r>
                  <w:rPr>
                    <w:rFonts w:ascii="Cambria Math" w:eastAsia="Times New Roman" w:hAnsi="Cambria Math"/>
                    <w:sz w:val="24"/>
                    <w:szCs w:val="24"/>
                  </w:rPr>
                  <m:t>I</m:t>
                </m:r>
              </m:e>
            </m:acc>
          </m:e>
          <m:sup>
            <m:r>
              <w:rPr>
                <w:rFonts w:ascii="Cambria Math" w:eastAsia="Times New Roman" w:hAnsi="Cambria Math"/>
                <w:sz w:val="24"/>
                <w:szCs w:val="24"/>
                <w:lang w:val="en-US"/>
              </w:rPr>
              <m:t>-1</m:t>
            </m:r>
          </m:sup>
        </m:sSup>
      </m:oMath>
      <w:r>
        <w:rPr>
          <w:rFonts w:ascii="Times New Roman" w:hAnsi="Times New Roman" w:eastAsia="Times New Roman"/>
          <w:sz w:val="24"/>
          <w:szCs w:val="24"/>
          <w:lang w:val="en-US"/>
        </w:rPr>
        <w:t xml:space="preserve"> denotes the inverse of the information matrix.</w:t>
      </w:r>
      <w:r>
        <w:rPr>
          <w:rStyle w:val="Refdenotaderodap"/>
          <w:rFonts w:ascii="Times New Roman" w:hAnsi="Times New Roman" w:eastAsia="Times New Roman"/>
          <w:sz w:val="24"/>
          <w:szCs w:val="24"/>
        </w:rPr>
        <w:footnoteReference w:id="7"/>
      </w:r>
    </w:p>
    <w:p>
      <w:pPr>
        <w:pStyle w:val="PargrafodaLista"/>
        <w:spacing w:line="360" w:lineRule="auto"/>
        <w:ind w:left="142" w:firstLine="566"/>
        <w:jc w:val="both"/>
        <w:rPr>
          <w:rFonts w:ascii="Times New Roman" w:hAnsi="Times New Roman"/>
          <w:sz w:val="24"/>
          <w:szCs w:val="24"/>
        </w:rPr>
      </w:pPr>
      <w:r>
        <w:rPr>
          <w:rFonts w:ascii="Times New Roman" w:hAnsi="Times New Roman"/>
          <w:sz w:val="24"/>
          <w:szCs w:val="24"/>
          <w:lang w:val="en-US"/>
        </w:rPr>
        <w:t xml:space="preserve">The reported Pareto type I maximum-likelihood (Hill, 1975) and Gabaix–Ibragimov (2011) rank-size estimates, and the LMp, LMz and PWL score statistics, were calculated in Python using NumPy and SciPy. LMp and LMz use the smallest included revenue as the cutoff in Tables 1–3; Table 6 uses the same convention for the Hill estimates. The top-100 PWL test uses the revenue of rank 101 as its cutoff, so every tested observation lies strictly above it. Its bootstrap p-values in Table 5 use 19,999 replications per year. The Wald test of the Zipf restriction, Mann–Kendall test, Sen’s slope and weighted sup-Wald test were calculated in Python; the Wald and sup-Wald bootstraps use 20,000 replications. The Stata modules paretofit [Jenkins and Van Kerm (2015)] and pwlaw [Urzúa (2020)] are software references for Type I estimation and the PWL method, respectively; they are not called by the Python routines that reproduce the reported results.</w:t>
      </w:r>
    </w:p>
    <w:p>
      <w:pPr>
        <w:pStyle w:val="PargrafodaLista"/>
        <w:spacing w:line="360" w:lineRule="auto"/>
        <w:ind w:left="142" w:firstLine="566"/>
        <w:jc w:val="both"/>
        <w:rPr>
          <w:rFonts w:ascii="Times New Roman" w:hAnsi="Times New Roman"/>
          <w:sz w:val="24"/>
          <w:szCs w:val="24"/>
          <w:lang w:val="en-US"/>
        </w:rPr>
      </w:pPr>
      <w:r>
        <w:rPr>
          <w:rFonts w:ascii="Times New Roman" w:hAnsi="Times New Roman"/>
          <w:sz w:val="24"/>
          <w:szCs w:val="24"/>
          <w:lang w:val="en-US"/>
        </w:rPr>
        <w:t xml:space="preserve">The empirical strategy examines Pareto type I restrictions within Pareto types II and IV using LMp and PWL, respectively, together with the joint Zipf restrictions within type II using LMz. Pareto type III is not separately estimated or tested. The PWL comparison follows Urzúa (2020). This strategy provides a systematic assessment of power laws, but the two basic generating mechanisms discussed by Gabaix (2009, 2016) do not readily identify the underlying economic primitives. Those works emphasize:</w:t>
      </w:r>
    </w:p>
    <w:p>
      <w:pPr>
        <w:pStyle w:val="PargrafodaLista"/>
        <w:spacing w:line="360" w:lineRule="auto"/>
        <w:ind w:left="142" w:firstLine="566"/>
        <w:jc w:val="both"/>
        <w:rPr>
          <w:rFonts w:ascii="Times New Roman" w:hAnsi="Times New Roman"/>
          <w:sz w:val="24"/>
          <w:szCs w:val="24"/>
        </w:rPr>
      </w:pPr>
      <w:r>
        <w:rPr>
          <w:rFonts w:ascii="Times New Roman" w:hAnsi="Times New Roman"/>
          <w:sz w:val="24"/>
          <w:szCs w:val="24"/>
        </w:rPr>
        <w:t xml:space="preserve">(a) Random growth models with independent shocks contend that to achieve convergence to a steady-state distribution of firm size that is not lognormal but consistent with a power law, some friction is needed but still refers to a starting point that assumes Gibrat’s law where firm growth is size-independent </w:t>
      </w:r>
    </w:p>
    <w:p>
      <w:pPr>
        <w:pStyle w:val="PargrafodaLista"/>
        <w:spacing w:line="360" w:lineRule="auto"/>
        <w:ind w:left="142" w:firstLine="566"/>
        <w:jc w:val="both"/>
        <w:rPr>
          <w:rFonts w:ascii="Times New Roman" w:hAnsi="Times New Roman"/>
          <w:sz w:val="24"/>
          <w:szCs w:val="24"/>
        </w:rPr>
      </w:pPr>
      <w:r>
        <w:rPr>
          <w:rFonts w:ascii="Times New Roman" w:hAnsi="Times New Roman"/>
          <w:sz w:val="24"/>
          <w:szCs w:val="24"/>
        </w:rPr>
        <w:t xml:space="preserve">(b) Transfer of power law from one variable to another by matching and optimization.</w:t>
      </w:r>
    </w:p>
    <w:p>
      <w:pPr>
        <w:pStyle w:val="PargrafodaLista"/>
        <w:spacing w:line="360" w:lineRule="auto"/>
        <w:ind w:left="142" w:firstLine="566"/>
        <w:jc w:val="both"/>
        <w:rPr>
          <w:rFonts w:ascii="Times New Roman" w:hAnsi="Times New Roman"/>
          <w:sz w:val="24"/>
          <w:szCs w:val="24"/>
        </w:rPr>
      </w:pPr>
      <w:r>
        <w:rPr>
          <w:rFonts w:ascii="Times New Roman" w:hAnsi="Times New Roman"/>
          <w:sz w:val="24"/>
          <w:szCs w:val="24"/>
        </w:rPr>
        <w:t xml:space="preserve">It appears that there is still a gap of a better understanding of the economic factors that explain power laws. In any case, the importance of heterogeneous shocks may provide an additional motivation for studying the large and heterogeneous economy of Brazil. The present paper may constitute an intermediate step towards causal analyses in the future.</w:t>
      </w:r>
    </w:p>
    <w:p>
      <w:pPr>
        <w:pStyle w:val="PargrafodaLista"/>
        <w:spacing w:line="360" w:lineRule="auto"/>
        <w:ind w:left="0"/>
        <w:rPr>
          <w:rFonts w:ascii="Times New Roman" w:hAnsi="Times New Roman"/>
          <w:sz w:val="24"/>
          <w:szCs w:val="24"/>
          <w:lang w:val="en-US"/>
        </w:rPr>
      </w:pPr>
    </w:p>
    <w:p>
      <w:pPr>
        <w:pStyle w:val="PargrafodaLista"/>
        <w:numPr>
          <w:ilvl w:val="0"/>
          <w:numId w:val="1"/>
        </w:numPr>
        <w:spacing w:line="360" w:lineRule="auto"/>
        <w:ind w:left="0" w:firstLine="0"/>
        <w:rPr>
          <w:rFonts w:ascii="Times New Roman" w:hAnsi="Times New Roman"/>
          <w:b/>
          <w:sz w:val="24"/>
          <w:szCs w:val="24"/>
        </w:rPr>
      </w:pPr>
      <w:r>
        <w:rPr>
          <w:rFonts w:ascii="Times New Roman" w:hAnsi="Times New Roman"/>
          <w:b/>
          <w:sz w:val="24"/>
          <w:szCs w:val="24"/>
        </w:rPr>
        <w:t xml:space="preserve">Empirical Analysis</w:t>
      </w:r>
    </w:p>
    <w:p>
      <w:pPr>
        <w:pStyle w:val="PargrafodaLista"/>
        <w:spacing w:line="360" w:lineRule="auto"/>
        <w:ind w:left="0"/>
        <w:rPr>
          <w:rFonts w:ascii="Times New Roman" w:hAnsi="Times New Roman"/>
          <w:sz w:val="24"/>
          <w:szCs w:val="24"/>
        </w:rPr>
      </w:pPr>
      <w:r>
        <w:rPr>
          <w:rFonts w:ascii="Times New Roman" w:hAnsi="Times New Roman"/>
          <w:sz w:val="24"/>
          <w:szCs w:val="24"/>
        </w:rPr>
        <w:t xml:space="preserve">3.1 – Data</w:t>
      </w:r>
    </w:p>
    <w:p>
      <w:pPr>
        <w:pStyle w:val="PargrafodaLista"/>
        <w:spacing w:line="360" w:lineRule="auto"/>
        <w:ind w:left="142" w:firstLine="566"/>
        <w:jc w:val="both"/>
        <w:rPr>
          <w:rFonts w:ascii="Times New Roman" w:hAnsi="Times New Roman"/>
          <w:sz w:val="24"/>
          <w:szCs w:val="24"/>
          <w:lang w:val="en-US"/>
        </w:rPr>
      </w:pPr>
      <w:r>
        <w:rPr>
          <w:rFonts w:ascii="Times New Roman" w:hAnsi="Times New Roman"/>
          <w:sz w:val="24"/>
          <w:szCs w:val="24"/>
          <w:lang w:val="en-US"/>
        </w:rPr>
        <w:t xml:space="preserve">This study makes use of balance sheet data for the 1000 largest firms in Brazil on an annual basis for the period 1999–2024. The coverage of the considered data sources is broader than more usual databases that focus only on publicly traded firms. In fact, the pioneering databases were constructed in connection with the periodical Conjuntura Econômica [Instituto Brasileiro de Economia, Fundação Getulio Vargas – IBRE-FGV] in terms of an annual special issue for the largest 500 firms and later a database for the 1000 largest firms was established while similar efforts were initiated by newspaper Valor Econômico. We were able to obtain data for 1999 and 2000 from IBRE-FGV and for 2001–2024 from Valor Econômico for the 1000 largest firms.</w:t>
      </w:r>
      <w:r>
        <w:rPr>
          <w:rFonts w:ascii="Times New Roman" w:hAnsi="Times New Roman"/>
          <w:sz w:val="24"/>
          <w:szCs w:val="24"/>
          <w:vertAlign w:val="superscript"/>
          <w:lang w:val="en-US"/>
        </w:rPr>
        <w:t xml:space="preserve"> </w:t>
      </w:r>
    </w:p>
    <w:p>
      <w:pPr>
        <w:pStyle w:val="PargrafodaLista"/>
        <w:spacing w:line="360" w:lineRule="auto"/>
        <w:ind w:left="142" w:firstLine="566"/>
        <w:jc w:val="both"/>
        <w:rPr>
          <w:rFonts w:ascii="Times New Roman" w:hAnsi="Times New Roman"/>
          <w:sz w:val="24"/>
          <w:szCs w:val="24"/>
          <w:lang w:val="en-US"/>
        </w:rPr>
      </w:pPr>
      <w:r>
        <w:rPr>
          <w:rFonts w:ascii="Times New Roman" w:hAnsi="Times New Roman"/>
          <w:sz w:val="24"/>
          <w:szCs w:val="24"/>
          <w:lang w:val="en-US"/>
        </w:rPr>
        <w:t xml:space="preserve">In the present study, the variable of interest will be the net revenue share of firm i in year (rs</w:t>
      </w:r>
      <w:r>
        <w:rPr>
          <w:rFonts w:ascii="Times New Roman" w:hAnsi="Times New Roman"/>
          <w:sz w:val="24"/>
          <w:szCs w:val="24"/>
          <w:vertAlign w:val="subscript"/>
          <w:lang w:val="en-US"/>
        </w:rPr>
        <w:t xml:space="preserve">it</w:t>
      </w:r>
      <w:r>
        <w:rPr>
          <w:rFonts w:ascii="Times New Roman" w:hAnsi="Times New Roman"/>
          <w:sz w:val="24"/>
          <w:szCs w:val="24"/>
          <w:lang w:val="en-US"/>
        </w:rPr>
        <w:t xml:space="preserve">) computed upon the share of net revenue (NR) relative to the year’s total value, which is readily defined for the n largest firms:</w:t>
      </w:r>
    </w:p>
    <w:p>
      <w:pPr>
        <w:spacing w:line="360" w:lineRule="auto"/>
        <w:jc w:val="center"/>
        <w:rPr>
          <w:rFonts w:ascii="Times New Roman" w:hAnsi="Times New Roman"/>
          <w:sz w:val="24"/>
          <w:szCs w:val="24"/>
        </w:rPr>
      </w:pPr>
      <m:oMathPara>
        <m:oMath>
          <m:sSub>
            <m:sSubPr>
              <m:ctrlPr>
                <w:rPr>
                  <w:rFonts w:ascii="Cambria Math" w:hAnsi="Cambria Math"/>
                  <w:i/>
                  <w:sz w:val="24"/>
                  <w:szCs w:val="24"/>
                </w:rPr>
              </m:ctrlPr>
            </m:sSubPr>
            <m:e>
              <m:r>
                <w:rPr>
                  <w:rFonts w:ascii="Cambria Math" w:hAnsi="Cambria Math"/>
                  <w:sz w:val="24"/>
                  <w:szCs w:val="24"/>
                </w:rPr>
                <m:t>rs</m:t>
              </m:r>
            </m:e>
            <m:sub>
              <m:r>
                <w:rPr>
                  <w:rFonts w:ascii="Cambria Math" w:hAnsi="Cambria Math"/>
                  <w:sz w:val="24"/>
                  <w:szCs w:val="24"/>
                </w:rPr>
                <m:t>it</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NR</m:t>
                  </m:r>
                </m:e>
                <m:sub>
                  <m:r>
                    <w:rPr>
                      <w:rFonts w:ascii="Cambria Math" w:hAnsi="Cambria Math"/>
                      <w:sz w:val="24"/>
                      <w:szCs w:val="24"/>
                    </w:rPr>
                    <m:t>it</m:t>
                  </m:r>
                </m:sub>
              </m:sSub>
            </m:num>
            <m:den>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i/>
                          <w:sz w:val="24"/>
                          <w:szCs w:val="24"/>
                        </w:rPr>
                      </m:ctrlPr>
                    </m:sSubPr>
                    <m:e>
                      <m:r>
                        <w:rPr>
                          <w:rFonts w:ascii="Cambria Math" w:hAnsi="Cambria Math"/>
                          <w:sz w:val="24"/>
                          <w:szCs w:val="24"/>
                        </w:rPr>
                        <m:t>NR</m:t>
                      </m:r>
                    </m:e>
                    <m:sub>
                      <m:r>
                        <w:rPr>
                          <w:rFonts w:ascii="Cambria Math" w:hAnsi="Cambria Math"/>
                          <w:sz w:val="24"/>
                          <w:szCs w:val="24"/>
                        </w:rPr>
                        <m:t>it</m:t>
                      </m:r>
                    </m:sub>
                  </m:sSub>
                </m:e>
              </m:nary>
            </m:den>
          </m:f>
          <m:r>
            <w:rPr>
              <w:rFonts w:ascii="Cambria Math" w:hAnsi="Cambria Math"/>
              <w:sz w:val="24"/>
              <w:szCs w:val="24"/>
            </w:rPr>
            <m:t xml:space="preserve">            (9)</m:t>
          </m:r>
        </m:oMath>
      </m:oMathPara>
    </w:p>
    <w:p>
      <w:pPr>
        <w:pStyle w:val="PargrafodaLista"/>
        <w:spacing w:line="360" w:lineRule="auto"/>
        <w:ind w:left="142" w:firstLine="566"/>
        <w:jc w:val="both"/>
        <w:rPr>
          <w:rFonts w:ascii="Times New Roman" w:hAnsi="Times New Roman"/>
          <w:color w:val="000000"/>
          <w:sz w:val="24"/>
          <w:szCs w:val="24"/>
        </w:rPr>
      </w:pPr>
      <w:r>
        <w:rPr>
          <w:rFonts w:ascii="Times New Roman" w:hAnsi="Times New Roman"/>
          <w:color w:val="000000"/>
          <w:sz w:val="24"/>
          <w:szCs w:val="24"/>
          <w:lang w:val="en-US"/>
        </w:rPr>
        <w:t xml:space="preserve">The power law analyses will be implemented on a year-by-year basis for the referred upper tail of the distribution of net revenue shares and the top firms are not always the same in different years. </w:t>
      </w:r>
      <w:r>
        <w:rPr>
          <w:rFonts w:ascii="Times New Roman" w:hAnsi="Times New Roman"/>
          <w:color w:val="000000"/>
          <w:sz w:val="24"/>
          <w:szCs w:val="24"/>
        </w:rPr>
        <w:t xml:space="preserve">The analysis also relates to Segarra and Teruel (2012), who examine firm-size distributions and the sensitivity of their characterization to sample size. Even though their focus is distinct from the present investigation, our findings highlight the importance of examining the upper tail separately with different cutoff points of the firm size distribution. As we shall see, the evidence of a Pareto type I distribution is strongest among Brazil’s 100 largest firms, whose Pareto exponent exhibits a declining trajectory and a structural break in 2010. </w:t>
      </w:r>
    </w:p>
    <w:p>
      <w:pPr>
        <w:pStyle w:val="PargrafodaLista"/>
        <w:spacing w:line="360" w:lineRule="auto"/>
        <w:ind w:left="142" w:firstLine="566"/>
        <w:jc w:val="both"/>
        <w:rPr>
          <w:rFonts w:ascii="Times New Roman" w:hAnsi="Times New Roman"/>
          <w:color w:val="EE0000"/>
          <w:sz w:val="24"/>
          <w:szCs w:val="24"/>
        </w:rPr>
      </w:pPr>
    </w:p>
    <w:p>
      <w:pPr>
        <w:spacing w:line="360" w:lineRule="auto"/>
        <w:rPr>
          <w:rFonts w:ascii="Times New Roman" w:hAnsi="Times New Roman"/>
          <w:sz w:val="24"/>
          <w:szCs w:val="24"/>
          <w:lang w:val="en-US"/>
        </w:rPr>
      </w:pPr>
      <w:r>
        <w:rPr>
          <w:rFonts w:ascii="Times New Roman" w:hAnsi="Times New Roman"/>
          <w:sz w:val="24"/>
          <w:szCs w:val="24"/>
          <w:lang w:val="en-US"/>
        </w:rPr>
        <w:t xml:space="preserve">3.2 – Empirical results</w:t>
      </w:r>
    </w:p>
    <w:p>
      <w:pPr>
        <w:pStyle w:val="PargrafodaLista"/>
        <w:spacing w:line="360" w:lineRule="auto"/>
        <w:ind w:left="142" w:firstLine="566"/>
        <w:jc w:val="both"/>
        <w:rPr>
          <w:rFonts w:ascii="Times New Roman" w:hAnsi="Times New Roman"/>
          <w:sz w:val="24"/>
          <w:szCs w:val="24"/>
          <w:lang w:val="en-US"/>
        </w:rPr>
      </w:pPr>
      <w:r>
        <w:rPr>
          <w:rFonts w:ascii="Times New Roman" w:hAnsi="Times New Roman"/>
          <w:sz w:val="24"/>
          <w:szCs w:val="24"/>
          <w:lang w:val="en-US"/>
        </w:rPr>
        <w:t xml:space="preserve">The empirical strategy tests exact Pareto type I restrictions within more general Pareto families. Table 1 reports the LMp and LMz score tests proposed by Goerlich (2013) and Urzúa (2000). The statistics and their asymptotic probabilities are computed by the Python routines lmp_test and lmz_test, using the sample-minimum cutoff. Tables 1–3 retain the 999-replication bootstrap calibration from the historical Python analysis; the fiscal-2019 top-1000 statistics in Table 1 incorporate the restored source observation. Table 5 reports the separately implemented PWL test of Urzúa (2020), with bootstrap probabilities recalibrated in the V12 replication package.</w:t>
      </w:r>
    </w:p>
    <w:p>
      <w:pPr>
        <w:pStyle w:val="PargrafodaLista"/>
        <w:spacing w:line="360" w:lineRule="auto"/>
        <w:ind w:left="360"/>
        <w:jc w:val="center"/>
        <w:rPr>
          <w:rFonts w:ascii="Times New Roman" w:hAnsi="Times New Roman"/>
          <w:sz w:val="24"/>
          <w:szCs w:val="24"/>
          <w:lang w:val="en-US"/>
        </w:rPr>
      </w:pPr>
      <w:r>
        <w:rPr>
          <w:rFonts w:ascii="Times New Roman" w:hAnsi="Times New Roman"/>
          <w:sz w:val="24"/>
          <w:szCs w:val="24"/>
          <w:lang w:val="en-US"/>
        </w:rPr>
        <w:t xml:space="preserve">INSERT TABLE 1 AROUND HERE</w:t>
      </w:r>
    </w:p>
    <w:p>
      <w:pPr>
        <w:pStyle w:val="PargrafodaLista"/>
        <w:spacing w:line="360" w:lineRule="auto"/>
        <w:ind w:left="142" w:firstLine="566"/>
        <w:jc w:val="both"/>
        <w:rPr>
          <w:rFonts w:ascii="Times New Roman" w:hAnsi="Times New Roman"/>
          <w:sz w:val="24"/>
          <w:szCs w:val="24"/>
          <w:lang w:val="en-US"/>
        </w:rPr>
      </w:pPr>
      <w:r>
        <w:rPr>
          <w:rFonts w:ascii="Times New Roman" w:hAnsi="Times New Roman"/>
          <w:sz w:val="24"/>
          <w:szCs w:val="24"/>
          <w:lang w:val="en-US"/>
        </w:rPr>
        <w:t xml:space="preserve">For the largest 1000 firms, LMp rejects Pareto type I against type II in every year of 1999–2024. LMz tests the joint restrictions σ = μ and α = 1, corresponding to Zipf’s law within type II. Its results are reported for completeness in every year, including when LMp rejects. Because the tests have different score statistics and critical values, their rejection decisions need not be ordered. We report both asymptotic and parametric bootstrap p-values.</w:t>
      </w:r>
    </w:p>
    <w:p>
      <w:pPr>
        <w:pStyle w:val="PargrafodaLista"/>
        <w:spacing w:line="360" w:lineRule="auto"/>
        <w:ind w:left="142" w:firstLine="566"/>
        <w:jc w:val="both"/>
        <w:rPr>
          <w:rFonts w:ascii="Times New Roman" w:hAnsi="Times New Roman"/>
          <w:sz w:val="24"/>
          <w:szCs w:val="24"/>
          <w:lang w:val="en-US"/>
        </w:rPr>
      </w:pPr>
      <w:r>
        <w:rPr>
          <w:rFonts w:ascii="Times New Roman" w:hAnsi="Times New Roman"/>
          <w:sz w:val="24"/>
          <w:szCs w:val="24"/>
          <w:lang w:val="en-US"/>
        </w:rPr>
        <w:t xml:space="preserve">Thus, for the largest 1000 firms in Brazil, the evidence is not consistent with a simple power law pattern. However, power laws typically prevail for the upper tail of some distributions of variables of interest. A further investigation possibility could consider a higher cutoff point for the Pareto distribution. In fact, in the context of firm size, another possibility is to focus on the 500 largest firms. The corresponding results for the tests are reported in Table 2.</w:t>
      </w:r>
    </w:p>
    <w:p>
      <w:pPr>
        <w:pStyle w:val="PargrafodaLista"/>
        <w:spacing w:line="360" w:lineRule="auto"/>
        <w:ind w:left="360"/>
        <w:jc w:val="center"/>
        <w:rPr>
          <w:rFonts w:ascii="Times New Roman" w:hAnsi="Times New Roman"/>
          <w:sz w:val="24"/>
          <w:szCs w:val="24"/>
          <w:lang w:val="en-US"/>
        </w:rPr>
      </w:pPr>
      <w:r>
        <w:rPr>
          <w:rFonts w:ascii="Times New Roman" w:hAnsi="Times New Roman"/>
          <w:sz w:val="24"/>
          <w:szCs w:val="24"/>
          <w:lang w:val="en-US"/>
        </w:rPr>
        <w:t xml:space="preserve">INSERT TABLE 2 AROUND HERE</w:t>
      </w:r>
    </w:p>
    <w:p>
      <w:pPr>
        <w:pStyle w:val="PargrafodaLista"/>
        <w:spacing w:line="360" w:lineRule="auto"/>
        <w:ind w:left="142" w:firstLine="566"/>
        <w:jc w:val="both"/>
        <w:rPr>
          <w:rFonts w:ascii="Times New Roman" w:hAnsi="Times New Roman"/>
          <w:sz w:val="24"/>
          <w:szCs w:val="24"/>
          <w:lang w:val="en-US"/>
        </w:rPr>
      </w:pPr>
      <w:r>
        <w:rPr>
          <w:rFonts w:ascii="Times New Roman" w:hAnsi="Times New Roman"/>
          <w:sz w:val="24"/>
          <w:szCs w:val="24"/>
          <w:lang w:val="en-US"/>
        </w:rPr>
        <w:t xml:space="preserve">Under this stricter criterion, the evidence is still strongly against the prevalence of a power law. One cannot reject the null hypothesis for the 2012–2015 period, as suggested by the LMp test, and the evidence rejects a Pareto type I law in most of the years. Additionally, evidence from the LMz test favors the prevalence of a Zipf law for that upper tail of the firm size distribution in Brazil for that same period.</w:t>
      </w:r>
    </w:p>
    <w:p>
      <w:pPr>
        <w:pStyle w:val="PargrafodaLista"/>
        <w:spacing w:line="360" w:lineRule="auto"/>
        <w:ind w:left="142" w:firstLine="566"/>
        <w:jc w:val="both"/>
        <w:rPr>
          <w:rFonts w:ascii="Times New Roman" w:hAnsi="Times New Roman"/>
          <w:sz w:val="24"/>
          <w:szCs w:val="24"/>
        </w:rPr>
      </w:pPr>
      <w:r>
        <w:rPr>
          <w:rFonts w:ascii="Times New Roman" w:hAnsi="Times New Roman"/>
          <w:sz w:val="24"/>
          <w:szCs w:val="24"/>
          <w:lang w:val="en-US"/>
        </w:rPr>
        <w:t xml:space="preserve">Finally, in Table 3, we consider a higher cutoff point in terms of the 100 largest firms in Brazil. In such case, a simple power law pattern, with a Pareto type I law, emerges in most years with exceptions occurring in the 2016–2020 period and in the 2022–2023 period. In fact, in the great majority of years the evidence is consistent with a Pareto type I and also with the particular case of Zipf law (with α = 1), with the violation of the latter stricter case occurring in 2000, 2018, 2019 and 2022. However, in some years, when evidence suggests the rejection of a Pareto type I distribution driven by a single shape parameter, one cannot reject the stricter particular case of the Zipf law, as indicated by the LMz test; this is possible because the additional restriction implied by the structure of the test, together with sample variability, may place the statistic outside the rejection region, and the smaller sample size may also reduce the power of the test.</w:t>
      </w:r>
    </w:p>
    <w:p>
      <w:pPr>
        <w:pStyle w:val="PargrafodaLista"/>
        <w:spacing w:line="360" w:lineRule="auto"/>
        <w:ind w:left="142" w:firstLine="566"/>
        <w:jc w:val="both"/>
        <w:rPr>
          <w:rFonts w:ascii="Times New Roman" w:hAnsi="Times New Roman"/>
          <w:sz w:val="24"/>
          <w:szCs w:val="24"/>
          <w:lang w:val="en-US"/>
        </w:rPr>
      </w:pPr>
      <w:r>
        <w:rPr>
          <w:rFonts w:ascii="Times New Roman" w:hAnsi="Times New Roman"/>
          <w:sz w:val="24"/>
          <w:szCs w:val="24"/>
        </w:rPr>
        <w:t xml:space="preserve"> </w:t>
      </w:r>
    </w:p>
    <w:p>
      <w:pPr>
        <w:pStyle w:val="PargrafodaLista"/>
        <w:spacing w:line="360" w:lineRule="auto"/>
        <w:ind w:left="360"/>
        <w:jc w:val="center"/>
        <w:rPr>
          <w:rFonts w:ascii="Times New Roman" w:hAnsi="Times New Roman"/>
          <w:sz w:val="24"/>
          <w:szCs w:val="24"/>
          <w:lang w:val="en-US"/>
        </w:rPr>
      </w:pPr>
      <w:r>
        <w:rPr>
          <w:rFonts w:ascii="Times New Roman" w:hAnsi="Times New Roman"/>
          <w:sz w:val="24"/>
          <w:szCs w:val="24"/>
          <w:lang w:val="en-US"/>
        </w:rPr>
        <w:t xml:space="preserve">INSERT TABLE 3 AROUND HERE</w:t>
      </w:r>
    </w:p>
    <w:p>
      <w:pPr>
        <w:pStyle w:val="PargrafodaLista"/>
        <w:spacing w:line="360" w:lineRule="auto"/>
        <w:ind w:left="142" w:firstLine="566"/>
        <w:jc w:val="both"/>
        <w:rPr>
          <w:rFonts w:ascii="Times New Roman" w:hAnsi="Times New Roman"/>
          <w:sz w:val="24"/>
          <w:szCs w:val="24"/>
          <w:lang w:val="en-US"/>
        </w:rPr>
      </w:pPr>
      <w:r>
        <w:rPr>
          <w:rFonts w:ascii="Times New Roman" w:hAnsi="Times New Roman"/>
          <w:sz w:val="24"/>
          <w:szCs w:val="24"/>
          <w:highlight w:val="none"/>
          <w:lang w:val="en-US"/>
        </w:rPr>
        <w:t xml:space="preserve">Table 4 su</w:t>
      </w:r>
      <w:r>
        <w:rPr>
          <w:rFonts w:ascii="Times New Roman" w:hAnsi="Times New Roman"/>
          <w:sz w:val="24"/>
          <w:szCs w:val="24"/>
          <w:lang w:val="en-US"/>
        </w:rPr>
        <w:t xml:space="preserve">mmarizes the same comparison across cutoffs. The exact Pareto type I restriction is rejected in at most ten of the 26 years for cutoffs up to the largest 300 firms (two years at n = 50, nine at n = 100 and two at n = 200), but in 23, 26 and 26 of 26 years at n = 500, 750 and 999, respectively, and the mean exponent falls from 1.311 at n = 50 to 0.823 at n = 999. The deterioration is therefore not monotonic: exact Pareto type I describes a narrow slice of the upper tail, roughly the 50 to 300 largest firms, and fails once the sample extends to half of the size distribution. These rejection counts are descriptive across a prespecified grid rather than selection-adjusted test decisions.</w:t>
      </w:r>
    </w:p>
    <w:p>
      <w:pPr>
        <w:pStyle w:val="PargrafodaLista"/>
        <w:spacing w:line="360" w:lineRule="auto"/>
        <w:ind w:left="360"/>
        <w:jc w:val="center"/>
        <w:rPr>
          <w:rFonts w:ascii="Times New Roman" w:hAnsi="Times New Roman"/>
          <w:sz w:val="24"/>
          <w:szCs w:val="24"/>
          <w:highlight w:val="none"/>
          <w:lang w:val="en-US"/>
        </w:rPr>
      </w:pPr>
      <w:r>
        <w:rPr>
          <w:rFonts w:ascii="Times New Roman" w:hAnsi="Times New Roman"/>
          <w:sz w:val="24"/>
          <w:szCs w:val="24"/>
          <w:highlight w:val="none"/>
          <w:lang w:val="en-US"/>
        </w:rPr>
        <w:t xml:space="preserve">INSERT TABLE 4 AROUND HERE</w:t>
      </w:r>
    </w:p>
    <w:p>
      <w:pPr>
        <w:pStyle w:val="PargrafodaLista"/>
        <w:spacing w:line="360" w:lineRule="auto"/>
        <w:ind w:left="142" w:firstLine="566"/>
        <w:jc w:val="both"/>
        <w:rPr>
          <w:rFonts w:ascii="Times New Roman" w:hAnsi="Times New Roman"/>
          <w:sz w:val="24"/>
          <w:szCs w:val="24"/>
          <w:highlight w:val="none"/>
          <w:lang w:val="en-US"/>
        </w:rPr>
      </w:pPr>
      <w:r>
        <w:rPr>
          <w:rFonts w:ascii="Times New Roman" w:hAnsi="Times New Roman"/>
          <w:sz w:val="24"/>
          <w:szCs w:val="24"/>
          <w:highlight w:val="none"/>
          <w:lang w:val="en-US"/>
        </w:rPr>
        <w:t xml:space="preserve">Altogether, we must be cautious, but there is suggestive evidence for a heavier tail of the firm size distribution in terms of a Pareto type I pattern. However, it is important to consider a more general starting point with a more flexible Pareto type IV distribution. In Table 5, we report the results from the PWL Lagrange multiplier test by Urzúa (2020) that has as the null hypothesis the prevalence of a Pareto type I distribution.</w:t>
      </w:r>
    </w:p>
    <w:p>
      <w:pPr>
        <w:pStyle w:val="PargrafodaLista"/>
        <w:spacing w:line="360" w:lineRule="auto"/>
        <w:ind w:left="360"/>
        <w:jc w:val="center"/>
        <w:rPr>
          <w:rFonts w:ascii="Times New Roman" w:hAnsi="Times New Roman"/>
          <w:sz w:val="24"/>
          <w:szCs w:val="24"/>
          <w:highlight w:val="none"/>
          <w:lang w:val="en-US"/>
        </w:rPr>
      </w:pPr>
      <w:r>
        <w:rPr>
          <w:rFonts w:ascii="Times New Roman" w:hAnsi="Times New Roman"/>
          <w:sz w:val="24"/>
          <w:szCs w:val="24"/>
          <w:highlight w:val="none"/>
          <w:lang w:val="en-US"/>
        </w:rPr>
        <w:t xml:space="preserve"> </w:t>
      </w:r>
    </w:p>
    <w:p>
      <w:pPr>
        <w:pStyle w:val="PargrafodaLista"/>
        <w:spacing w:line="360" w:lineRule="auto"/>
        <w:ind w:left="360"/>
        <w:jc w:val="center"/>
        <w:rPr>
          <w:rFonts w:ascii="Times New Roman" w:hAnsi="Times New Roman"/>
          <w:sz w:val="24"/>
          <w:szCs w:val="24"/>
          <w:highlight w:val="none"/>
          <w:lang w:val="en-US"/>
        </w:rPr>
      </w:pPr>
      <w:r>
        <w:rPr>
          <w:rFonts w:ascii="Times New Roman" w:hAnsi="Times New Roman"/>
          <w:sz w:val="24"/>
          <w:szCs w:val="24"/>
          <w:highlight w:val="none"/>
          <w:lang w:val="en-US"/>
        </w:rPr>
        <w:t xml:space="preserve">INSERT TABLE 5 AROUND HERE</w:t>
      </w:r>
    </w:p>
    <w:p>
      <w:pPr>
        <w:pStyle w:val="PargrafodaLista"/>
        <w:spacing w:line="360" w:lineRule="auto"/>
        <w:ind w:left="142" w:firstLine="566"/>
        <w:jc w:val="both"/>
        <w:rPr>
          <w:rFonts w:ascii="Times New Roman" w:hAnsi="Times New Roman"/>
          <w:sz w:val="24"/>
          <w:szCs w:val="24"/>
          <w:highlight w:val="none"/>
          <w:lang w:val="en-US"/>
        </w:rPr>
      </w:pPr>
    </w:p>
    <w:p>
      <w:pPr>
        <w:pStyle w:val="PargrafodaLista"/>
        <w:spacing w:line="360" w:lineRule="auto"/>
        <w:ind w:left="142" w:firstLine="566"/>
        <w:jc w:val="both"/>
        <w:rPr>
          <w:rFonts w:ascii="Times New Roman" w:hAnsi="Times New Roman"/>
          <w:sz w:val="24"/>
          <w:szCs w:val="24"/>
          <w:highlight w:val="none"/>
          <w:lang w:val="en-US"/>
        </w:rPr>
      </w:pPr>
      <w:r>
        <w:rPr>
          <w:rFonts w:ascii="Times New Roman" w:hAnsi="Times New Roman"/>
          <w:sz w:val="24"/>
          <w:szCs w:val="24"/>
          <w:highlight w:val="none"/>
          <w:lang w:val="en-US"/>
        </w:rPr>
        <w:t xml:space="preserve">Table 5 generally does not reject exact Pareto type I, but the calibrated p-values reject in 2005, 2016, 2018, 2019, and 2022. Results around 0.05 are sensitive to Monte Carlo resolution, which motivates the 19,999-replication calibration. We do not equate non-rejection with evidence that no alternative fits as well.</w:t>
      </w:r>
    </w:p>
    <w:p>
      <w:pPr>
        <w:pStyle w:val="PargrafodaLista"/>
        <w:spacing w:line="360" w:lineRule="auto"/>
        <w:ind w:left="360"/>
        <w:rPr>
          <w:rFonts w:ascii="Times New Roman" w:hAnsi="Times New Roman"/>
          <w:color w:val="EE0000"/>
          <w:sz w:val="24"/>
          <w:szCs w:val="24"/>
          <w:highlight w:val="none"/>
          <w:lang w:val="en-US"/>
        </w:rPr>
      </w:pPr>
    </w:p>
    <w:p>
      <w:pPr>
        <w:pStyle w:val="PargrafodaLista"/>
        <w:spacing w:line="360" w:lineRule="auto"/>
        <w:ind w:left="360"/>
        <w:jc w:val="center"/>
        <w:rPr>
          <w:rFonts w:ascii="Times New Roman" w:hAnsi="Times New Roman"/>
          <w:sz w:val="24"/>
          <w:szCs w:val="24"/>
          <w:highlight w:val="none"/>
        </w:rPr>
      </w:pPr>
      <w:r>
        <w:rPr>
          <w:rFonts w:ascii="Times New Roman" w:hAnsi="Times New Roman"/>
          <w:sz w:val="24"/>
          <w:szCs w:val="24"/>
          <w:highlight w:val="none"/>
        </w:rPr>
        <w:t xml:space="preserve">INSERT TABLE 6 AROUND HERE</w:t>
      </w:r>
    </w:p>
    <w:p>
      <w:pPr>
        <w:pStyle w:val="PargrafodaLista"/>
        <w:spacing w:line="360" w:lineRule="auto"/>
        <w:ind w:left="142" w:firstLine="566"/>
        <w:jc w:val="both"/>
        <w:rPr>
          <w:rFonts w:ascii="Times New Roman" w:hAnsi="Times New Roman"/>
          <w:color w:val="2F75B5"/>
          <w:sz w:val="24"/>
          <w:szCs w:val="24"/>
          <w:highlight w:val="none"/>
          <w:lang w:val="en-US"/>
        </w:rPr>
      </w:pPr>
    </w:p>
    <w:p>
      <w:pPr>
        <w:pStyle w:val="PargrafodaLista"/>
        <w:spacing w:line="360" w:lineRule="auto"/>
        <w:ind w:left="142" w:firstLine="566"/>
        <w:jc w:val="both"/>
        <w:rPr>
          <w:rFonts w:ascii="Times New Roman" w:hAnsi="Times New Roman"/>
          <w:color w:val="2F75B5"/>
          <w:sz w:val="24"/>
          <w:szCs w:val="24"/>
          <w:lang w:val="en-US"/>
        </w:rPr>
      </w:pPr>
      <w:r>
        <w:rPr>
          <w:rFonts w:ascii="Times New Roman" w:hAnsi="Times New Roman"/>
          <w:color w:val="000000"/>
          <w:sz w:val="24"/>
          <w:szCs w:val="24"/>
          <w:highlight w:val="none"/>
          <w:lang w:val="en-US"/>
        </w:rPr>
        <w:t xml:space="preserve">Having previously made the case for a Pareto type I distribution, Table 6 reports the sample-minimum Hill and Gabaix–Ibragimov rank-size estimates, with explicitly ide</w:t>
      </w:r>
      <w:r>
        <w:rPr>
          <w:rFonts w:ascii="Times New Roman" w:hAnsi="Times New Roman"/>
          <w:color w:val="000000"/>
          <w:sz w:val="24"/>
          <w:szCs w:val="24"/>
          <w:lang w:val="en-US"/>
        </w:rPr>
        <w:t xml:space="preserve">ntified p-values for the Zipf restriction α = 1. The MLE and OLS-GI columns each report asymptotic and parametric bootstrap probabilities.</w:t>
      </w:r>
      <w:r>
        <w:rPr>
          <w:rFonts w:ascii="Times New Roman" w:hAnsi="Times New Roman"/>
          <w:sz w:val="24"/>
          <w:szCs w:val="24"/>
          <w:lang w:val="en-US"/>
        </w:rPr>
        <w:t xml:space="preserve">  </w:t>
      </w:r>
    </w:p>
    <w:p>
      <w:pPr>
        <w:pStyle w:val="PargrafodaLista"/>
        <w:spacing w:after="120" w:line="360" w:lineRule="auto"/>
        <w:ind w:left="142" w:firstLine="566"/>
        <w:jc w:val="both"/>
        <w:rPr>
          <w:rFonts w:ascii="Times New Roman" w:hAnsi="Times New Roman"/>
          <w:sz w:val="24"/>
          <w:szCs w:val="24"/>
        </w:rPr>
      </w:pPr>
      <w:r>
        <w:rPr>
          <w:rFonts w:ascii="Times New Roman" w:hAnsi="Times New Roman"/>
          <w:sz w:val="24"/>
          <w:szCs w:val="24"/>
        </w:rPr>
        <w:t xml:space="preserve">To assess the temporal pattern of the annual top-100 Hill estimates, we consider the Mann–Kendall nonparametric test for a monotonic trend [see Mann (1945), Kendall (1975)]. Here T = 26 denotes the number of annual observations; n denotes the number of firms in an annual distributional test.</w:t>
      </w:r>
    </w:p>
    <w:p>
      <w:pPr>
        <w:pStyle w:val="PargrafodaLista"/>
        <w:spacing w:line="360" w:lineRule="auto"/>
        <w:ind w:left="360"/>
        <w:jc w:val="center"/>
        <w:rPr>
          <w:rFonts w:ascii="Times New Roman" w:hAnsi="Times New Roman"/>
          <w:sz w:val="24"/>
          <w:szCs w:val="24"/>
        </w:rPr>
      </w:pPr>
      <w:r>
        <w:rPr>
          <w:rFonts w:ascii="Times New Roman" w:hAnsi="Times New Roman"/>
          <w:sz w:val="24"/>
          <w:szCs w:val="24"/>
        </w:rPr>
        <w:t xml:space="preserve">INSERT FIGURE 1 AROUND HERE</w:t>
      </w:r>
    </w:p>
    <w:p>
      <w:pPr>
        <w:pStyle w:val="PargrafodaLista"/>
        <w:spacing w:line="360" w:lineRule="auto"/>
        <w:ind w:left="360"/>
        <w:jc w:val="center"/>
        <w:rPr>
          <w:rFonts w:ascii="Times New Roman" w:hAnsi="Times New Roman"/>
          <w:sz w:val="24"/>
          <w:szCs w:val="24"/>
        </w:rPr>
      </w:pPr>
    </w:p>
    <w:p>
      <w:pPr>
        <w:pStyle w:val="PargrafodaLista"/>
        <w:spacing w:line="360" w:lineRule="auto"/>
        <w:ind w:left="0"/>
        <w:jc w:val="center"/>
        <w:rPr>
          <w:rFonts w:ascii="Times New Roman" w:hAnsi="Times New Roman"/>
          <w:sz w:val="24"/>
          <w:szCs w:val="24"/>
        </w:rPr>
      </w:pPr>
      <m:oMathPara>
        <m:oMath>
          <m:r>
            <m:rPr>
              <m:sty m:val="p"/>
            </m:rPr>
            <w:rPr>
              <w:rFonts w:ascii="Cambria Math" w:hAnsi="Cambria Math"/>
              <w:sz w:val="24"/>
              <w:szCs w:val="24"/>
            </w:rPr>
            <m:t>S=</m:t>
          </m:r>
          <m:nary>
            <m:naryPr>
              <m:chr m:val="∑"/>
              <m:limLoc m:val="undOvr"/>
              <m:ctrlPr>
                <w:rPr>
                  <w:rFonts w:ascii="Cambria Math" w:hAnsi="Cambria Math"/>
                  <w:iCs/>
                  <w:sz w:val="24"/>
                  <w:szCs w:val="24"/>
                </w:rPr>
              </m:ctrlPr>
            </m:naryPr>
            <m:sub>
              <m:r>
                <m:rPr>
                  <m:sty m:val="p"/>
                </m:rPr>
                <w:rPr>
                  <w:rFonts w:ascii="Cambria Math" w:hAnsi="Cambria Math"/>
                  <w:sz w:val="24"/>
                  <w:szCs w:val="24"/>
                </w:rPr>
                <m:t>i=1</m:t>
              </m:r>
            </m:sub>
            <m:sup>
              <m:r>
                <m:rPr>
                  <m:sty m:val="p"/>
                </m:rPr>
                <w:rPr>
                  <w:rFonts w:ascii="Cambria Math" w:hAnsi="Cambria Math"/>
                  <w:sz w:val="24"/>
                  <w:szCs w:val="24"/>
                </w:rPr>
                <m:t>T-1</m:t>
              </m:r>
            </m:sup>
            <m:e>
              <m:nary>
                <m:naryPr>
                  <m:chr m:val="∑"/>
                  <m:limLoc m:val="undOvr"/>
                  <m:ctrlPr>
                    <w:rPr>
                      <w:rFonts w:ascii="Cambria Math" w:hAnsi="Cambria Math"/>
                      <w:iCs/>
                      <w:sz w:val="24"/>
                      <w:szCs w:val="24"/>
                    </w:rPr>
                  </m:ctrlPr>
                </m:naryPr>
                <m:sub>
                  <m:r>
                    <m:rPr>
                      <m:sty m:val="p"/>
                    </m:rPr>
                    <w:rPr>
                      <w:rFonts w:ascii="Cambria Math" w:hAnsi="Cambria Math"/>
                      <w:sz w:val="24"/>
                      <w:szCs w:val="24"/>
                    </w:rPr>
                    <m:t>j=i+1</m:t>
                  </m:r>
                </m:sub>
                <m:sup>
                  <m:r>
                    <m:rPr>
                      <m:sty m:val="p"/>
                    </m:rPr>
                    <w:rPr>
                      <w:rFonts w:ascii="Cambria Math" w:hAnsi="Cambria Math"/>
                      <w:sz w:val="24"/>
                      <w:szCs w:val="24"/>
                    </w:rPr>
                    <m:t>T</m:t>
                  </m:r>
                </m:sup>
                <m:e>
                  <m:r>
                    <m:rPr>
                      <m:sty m:val="p"/>
                    </m:rPr>
                    <w:rPr>
                      <w:rFonts w:ascii="Cambria Math" w:hAnsi="Cambria Math"/>
                      <w:sz w:val="24"/>
                      <w:szCs w:val="24"/>
                    </w:rPr>
                    <m:t>sgn (</m:t>
                  </m:r>
                  <m:sSub>
                    <m:sSubPr>
                      <m:ctrlPr>
                        <w:rPr>
                          <w:rFonts w:ascii="Cambria Math" w:hAnsi="Cambria Math"/>
                          <w:iCs/>
                          <w:sz w:val="24"/>
                          <w:szCs w:val="24"/>
                        </w:rPr>
                      </m:ctrlPr>
                    </m:sSubPr>
                    <m:e>
                      <m:acc>
                        <m:accPr>
                          <m:ctrlPr>
                            <w:rPr>
                              <w:rFonts w:ascii="Cambria Math" w:hAnsi="Cambria Math"/>
                              <w:iCs/>
                              <w:sz w:val="24"/>
                              <w:szCs w:val="24"/>
                            </w:rPr>
                          </m:ctrlPr>
                        </m:accPr>
                        <m:e>
                          <m:r>
                            <m:rPr>
                              <m:sty m:val="p"/>
                            </m:rPr>
                            <w:rPr>
                              <w:rFonts w:ascii="Cambria Math" w:hAnsi="Cambria Math"/>
                              <w:sz w:val="24"/>
                              <w:szCs w:val="24"/>
                            </w:rPr>
                            <m:t>α</m:t>
                          </m:r>
                        </m:e>
                      </m:acc>
                    </m:e>
                    <m:sub>
                      <m:r>
                        <m:rPr>
                          <m:sty m:val="p"/>
                        </m:rPr>
                        <w:rPr>
                          <w:rFonts w:ascii="Cambria Math" w:hAnsi="Cambria Math"/>
                          <w:sz w:val="24"/>
                          <w:szCs w:val="24"/>
                        </w:rPr>
                        <m:t>j</m:t>
                      </m:r>
                    </m:sub>
                  </m:sSub>
                  <m:r>
                    <m:rPr>
                      <m:sty m:val="p"/>
                    </m:rPr>
                    <w:rPr>
                      <w:rFonts w:ascii="Cambria Math" w:hAnsi="Cambria Math"/>
                      <w:sz w:val="24"/>
                      <w:szCs w:val="24"/>
                    </w:rPr>
                    <m:t>-</m:t>
                  </m:r>
                  <m:sSub>
                    <m:sSubPr>
                      <m:ctrlPr>
                        <w:rPr>
                          <w:rFonts w:ascii="Cambria Math" w:hAnsi="Cambria Math"/>
                          <w:iCs/>
                          <w:sz w:val="24"/>
                          <w:szCs w:val="24"/>
                        </w:rPr>
                      </m:ctrlPr>
                    </m:sSubPr>
                    <m:e>
                      <m:acc>
                        <m:accPr>
                          <m:ctrlPr>
                            <w:rPr>
                              <w:rFonts w:ascii="Cambria Math" w:hAnsi="Cambria Math"/>
                              <w:iCs/>
                              <w:sz w:val="24"/>
                              <w:szCs w:val="24"/>
                            </w:rPr>
                          </m:ctrlPr>
                        </m:accPr>
                        <m:e>
                          <m:r>
                            <m:rPr>
                              <m:sty m:val="p"/>
                            </m:rPr>
                            <w:rPr>
                              <w:rFonts w:ascii="Cambria Math" w:hAnsi="Cambria Math"/>
                              <w:sz w:val="24"/>
                              <w:szCs w:val="24"/>
                            </w:rPr>
                            <m:t>α</m:t>
                          </m:r>
                        </m:e>
                      </m:acc>
                    </m:e>
                    <m:sub>
                      <m:r>
                        <m:rPr>
                          <m:sty m:val="p"/>
                        </m:rPr>
                        <w:rPr>
                          <w:rFonts w:ascii="Cambria Math" w:hAnsi="Cambria Math"/>
                          <w:sz w:val="24"/>
                          <w:szCs w:val="24"/>
                        </w:rPr>
                        <m:t>i</m:t>
                      </m:r>
                    </m:sub>
                  </m:sSub>
                  <m:r>
                    <m:rPr>
                      <m:sty m:val="p"/>
                    </m:rPr>
                    <w:rPr>
                      <w:rFonts w:ascii="Cambria Math" w:hAnsi="Cambria Math"/>
                      <w:sz w:val="24"/>
                      <w:szCs w:val="24"/>
                    </w:rPr>
                    <m:t>)</m:t>
                  </m:r>
                </m:e>
              </m:nary>
            </m:e>
          </m:nary>
          <m:r>
            <w:rPr>
              <w:rFonts w:ascii="Cambria Math" w:hAnsi="Cambria Math"/>
              <w:sz w:val="24"/>
              <w:szCs w:val="24"/>
            </w:rPr>
            <m:t xml:space="preserve">                  (10)</m:t>
          </m:r>
        </m:oMath>
      </m:oMathPara>
    </w:p>
    <w:p>
      <w:pPr>
        <w:pStyle w:val="PargrafodaLista"/>
        <w:spacing w:line="360" w:lineRule="auto"/>
        <w:ind w:left="142" w:firstLine="566"/>
        <w:jc w:val="both"/>
        <w:rPr>
          <w:rFonts w:ascii="Times New Roman" w:hAnsi="Times New Roman"/>
          <w:sz w:val="24"/>
          <w:szCs w:val="24"/>
        </w:rPr>
      </w:pPr>
      <w:r>
        <w:rPr>
          <w:rFonts w:ascii="Times New Roman" w:hAnsi="Times New Roman"/>
          <w:sz w:val="24"/>
          <w:szCs w:val="24"/>
        </w:rPr>
        <w:t xml:space="preserve">where x stands for the difference in parentheses, with</w:t>
      </w:r>
    </w:p>
    <w:p>
      <w:pPr>
        <w:pStyle w:val="PargrafodaLista"/>
        <w:spacing w:line="360" w:lineRule="auto"/>
        <w:ind w:left="0"/>
        <w:jc w:val="center"/>
        <w:rPr>
          <w:rFonts w:ascii="Times New Roman" w:hAnsi="Times New Roman"/>
          <w:color w:val="EE0000"/>
          <w:sz w:val="24"/>
          <w:szCs w:val="24"/>
        </w:rPr>
      </w:pPr>
      <m:oMathPara>
        <m:oMath>
          <m:r>
            <m:rPr>
              <m:sty m:val="p"/>
            </m:rPr>
            <w:rPr>
              <w:rFonts w:ascii="Cambria Math" w:hAnsi="Cambria Math"/>
              <w:sz w:val="24"/>
              <w:szCs w:val="24"/>
            </w:rPr>
            <m:t>sgn</m:t>
          </m:r>
          <m:r>
            <w:rPr>
              <w:rFonts w:ascii="Cambria Math" w:hAnsi="Cambria Math"/>
              <w:sz w:val="24"/>
              <w:szCs w:val="24"/>
            </w:rPr>
            <m:t>⁡(x)=</m:t>
          </m:r>
          <m:d>
            <m:dPr>
              <m:begChr m:val="{"/>
              <m:endChr m:val=""/>
              <m:ctrlPr>
                <w:rPr>
                  <w:rFonts w:ascii="Cambria Math" w:hAnsi="Cambria Math"/>
                  <w:sz w:val="24"/>
                  <w:szCs w:val="24"/>
                </w:rPr>
              </m:ctrlPr>
            </m:dPr>
            <m:e>
              <m:m>
                <m:mPr>
                  <m:plcHide m:val="1"/>
                  <m:mcs>
                    <m:mc>
                      <m:mcPr>
                        <m:count m:val="2"/>
                        <m:mcJc m:val="center"/>
                      </m:mcPr>
                    </m:mc>
                  </m:mcs>
                  <m:ctrlPr>
                    <w:rPr>
                      <w:rFonts w:ascii="Cambria Math" w:hAnsi="Cambria Math"/>
                      <w:sz w:val="24"/>
                      <w:szCs w:val="24"/>
                    </w:rPr>
                  </m:ctrlPr>
                </m:mPr>
                <m:mr>
                  <m:e>
                    <m:r>
                      <w:rPr>
                        <w:rFonts w:ascii="Cambria Math" w:hAnsi="Cambria Math"/>
                        <w:sz w:val="24"/>
                        <w:szCs w:val="24"/>
                      </w:rPr>
                      <m:t>1,</m:t>
                    </m:r>
                  </m:e>
                  <m:e>
                    <m:r>
                      <w:rPr>
                        <w:rFonts w:ascii="Cambria Math" w:hAnsi="Cambria Math"/>
                        <w:sz w:val="24"/>
                        <w:szCs w:val="24"/>
                      </w:rPr>
                      <m:t>x&gt;0,</m:t>
                    </m:r>
                  </m:e>
                </m:mr>
                <m:mr>
                  <m:e>
                    <m:r>
                      <w:rPr>
                        <w:rFonts w:ascii="Cambria Math" w:hAnsi="Cambria Math"/>
                        <w:sz w:val="24"/>
                        <w:szCs w:val="24"/>
                      </w:rPr>
                      <m:t>0,</m:t>
                    </m:r>
                  </m:e>
                  <m:e>
                    <m:r>
                      <w:rPr>
                        <w:rFonts w:ascii="Cambria Math" w:hAnsi="Cambria Math"/>
                        <w:sz w:val="24"/>
                        <w:szCs w:val="24"/>
                      </w:rPr>
                      <m:t>x=0,</m:t>
                    </m:r>
                  </m:e>
                </m:mr>
                <m:mr>
                  <m:e>
                    <m:r>
                      <w:rPr>
                        <w:rFonts w:ascii="Cambria Math" w:hAnsi="Cambria Math"/>
                        <w:sz w:val="24"/>
                        <w:szCs w:val="24"/>
                      </w:rPr>
                      <m:t>-1,</m:t>
                    </m:r>
                  </m:e>
                  <m:e>
                    <m:r>
                      <w:rPr>
                        <w:rFonts w:ascii="Cambria Math" w:hAnsi="Cambria Math"/>
                        <w:sz w:val="24"/>
                        <w:szCs w:val="24"/>
                      </w:rPr>
                      <m:t>x&lt;0.</m:t>
                    </m:r>
                  </m:e>
                </m:mr>
              </m:m>
            </m:e>
          </m:d>
        </m:oMath>
      </m:oMathPara>
    </w:p>
    <w:p>
      <w:pPr>
        <w:pStyle w:val="PargrafodaLista"/>
        <w:spacing w:line="360" w:lineRule="auto"/>
        <w:ind w:left="142" w:firstLine="566"/>
        <w:jc w:val="both"/>
        <w:rPr>
          <w:rFonts w:ascii="Times New Roman" w:hAnsi="Times New Roman"/>
          <w:sz w:val="24"/>
          <w:szCs w:val="24"/>
        </w:rPr>
      </w:pPr>
      <w:r>
        <w:rPr>
          <w:rFonts w:ascii="Times New Roman" w:hAnsi="Times New Roman"/>
          <w:sz w:val="24"/>
          <w:szCs w:val="24"/>
        </w:rPr>
        <w:t xml:space="preserve">The three cases indicate positive, zero and negative pairwise differences, respectively; the trend assessment depends on their aggregate S.</w:t>
      </w:r>
    </w:p>
    <w:p>
      <w:pPr>
        <w:pStyle w:val="PargrafodaLista"/>
        <w:spacing w:line="360" w:lineRule="auto"/>
        <w:ind w:left="142" w:firstLine="566"/>
        <w:jc w:val="both"/>
        <w:rPr>
          <w:rFonts w:ascii="Times New Roman" w:hAnsi="Times New Roman"/>
          <w:sz w:val="24"/>
          <w:szCs w:val="24"/>
        </w:rPr>
      </w:pPr>
      <w:r>
        <w:rPr>
          <w:rFonts w:ascii="Times New Roman" w:hAnsi="Times New Roman"/>
          <w:sz w:val="24"/>
          <w:szCs w:val="24"/>
        </w:rPr>
        <w:t xml:space="preserve">For a sufficiently large T, the asymptotic variance under H₀ is:</w:t>
      </w:r>
    </w:p>
    <w:p>
      <w:pPr>
        <w:pStyle w:val="PargrafodaLista"/>
        <w:spacing w:line="360" w:lineRule="auto"/>
        <w:ind w:left="360"/>
        <w:rPr>
          <w:rFonts w:ascii="Times New Roman" w:hAnsi="Times New Roman"/>
          <w:sz w:val="24"/>
          <w:szCs w:val="24"/>
        </w:rPr>
      </w:pPr>
    </w:p>
    <w:p>
      <w:pPr>
        <w:pStyle w:val="PargrafodaLista"/>
        <w:spacing w:line="360" w:lineRule="auto"/>
        <w:ind w:left="0"/>
        <w:jc w:val="center"/>
        <w:rPr>
          <w:rFonts w:ascii="Times New Roman" w:hAnsi="Times New Roman"/>
          <w:sz w:val="24"/>
          <w:szCs w:val="24"/>
        </w:rPr>
      </w:pPr>
      <m:oMathPara>
        <m:oMath>
          <m:r>
            <w:rPr>
              <w:rFonts w:ascii="Cambria Math" w:hAnsi="Cambria Math"/>
              <w:sz w:val="24"/>
              <w:szCs w:val="24"/>
            </w:rPr>
            <m:t>Var</m:t>
          </m:r>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T(T-1)(2T+5)-</m:t>
              </m:r>
              <m:nary>
                <m:naryPr>
                  <m:chr m:val="∑"/>
                  <m:limLoc m:val="undOvr"/>
                  <m:ctrlPr>
                    <w:rPr>
                      <w:rFonts w:ascii="Cambria Math" w:hAnsi="Cambria Math"/>
                      <w:sz w:val="24"/>
                      <w:szCs w:val="24"/>
                    </w:rPr>
                  </m:ctrlPr>
                </m:naryPr>
                <m:sub>
                  <m:r>
                    <w:rPr>
                      <w:rFonts w:ascii="Cambria Math" w:hAnsi="Cambria Math"/>
                      <w:sz w:val="24"/>
                      <w:szCs w:val="24"/>
                    </w:rPr>
                    <m:t>g=1</m:t>
                  </m:r>
                </m:sub>
                <m:sup>
                  <m:r>
                    <w:rPr>
                      <w:rFonts w:ascii="Cambria Math" w:hAnsi="Cambria Math"/>
                      <w:sz w:val="24"/>
                      <w:szCs w:val="24"/>
                    </w:rPr>
                    <m:t>G</m:t>
                  </m:r>
                </m:sup>
                <m:e>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g</m:t>
                      </m:r>
                    </m:sub>
                  </m:sSub>
                </m:e>
              </m:nary>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g</m:t>
                  </m:r>
                </m:sub>
              </m:sSub>
              <m:r>
                <w:rPr>
                  <w:rFonts w:ascii="Cambria Math" w:hAnsi="Cambria Math"/>
                  <w:sz w:val="24"/>
                  <w:szCs w:val="24"/>
                </w:rPr>
                <m:t>-1)(2</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g</m:t>
                  </m:r>
                </m:sub>
              </m:sSub>
              <m:r>
                <w:rPr>
                  <w:rFonts w:ascii="Cambria Math" w:hAnsi="Cambria Math"/>
                  <w:sz w:val="24"/>
                  <w:szCs w:val="24"/>
                </w:rPr>
                <m:t>+5)</m:t>
              </m:r>
            </m:num>
            <m:den>
              <m:r>
                <w:rPr>
                  <w:rFonts w:ascii="Cambria Math" w:hAnsi="Cambria Math"/>
                  <w:sz w:val="24"/>
                  <w:szCs w:val="24"/>
                </w:rPr>
                <m:t>18</m:t>
              </m:r>
            </m:den>
          </m:f>
          <m:r>
            <w:rPr>
              <w:rFonts w:ascii="Cambria Math" w:hAnsi="Cambria Math"/>
              <w:sz w:val="24"/>
              <w:szCs w:val="24"/>
            </w:rPr>
            <m:t xml:space="preserve">          (11)</m:t>
          </m:r>
        </m:oMath>
      </m:oMathPara>
    </w:p>
    <w:p>
      <w:pPr>
        <w:pStyle w:val="PargrafodaLista"/>
        <w:spacing w:line="360" w:lineRule="auto"/>
        <w:ind w:left="360"/>
        <w:rPr>
          <w:rFonts w:ascii="Times New Roman" w:hAnsi="Times New Roman"/>
          <w:sz w:val="24"/>
          <w:szCs w:val="24"/>
        </w:rPr>
      </w:pPr>
    </w:p>
    <w:p>
      <w:pPr>
        <w:pStyle w:val="PargrafodaLista"/>
        <w:spacing w:line="360" w:lineRule="auto"/>
        <w:ind w:left="142" w:firstLine="566"/>
        <w:jc w:val="both"/>
        <w:rPr>
          <w:rFonts w:ascii="Times New Roman" w:hAnsi="Times New Roman"/>
          <w:sz w:val="24"/>
          <w:szCs w:val="24"/>
        </w:rPr>
      </w:pPr>
      <w:r>
        <w:rPr>
          <w:rFonts w:ascii="Times New Roman" w:hAnsi="Times New Roman"/>
          <w:sz w:val="24"/>
          <w:szCs w:val="24"/>
        </w:rPr>
        <w:t xml:space="preserve">where t</w:t>
      </w:r>
      <w:r>
        <w:rPr>
          <w:rFonts w:ascii="Times New Roman" w:hAnsi="Times New Roman"/>
          <w:sz w:val="24"/>
          <w:szCs w:val="24"/>
          <w:vertAlign w:val="subscript"/>
        </w:rPr>
        <w:t xml:space="preserve">g</w:t>
      </w:r>
      <w:r>
        <w:rPr>
          <w:rFonts w:ascii="Times New Roman" w:hAnsi="Times New Roman"/>
          <w:sz w:val="24"/>
          <w:szCs w:val="24"/>
        </w:rPr>
        <w:t xml:space="preserve"> is the size of the g-th group of tied observations and the standardized test statistic is given by: </w:t>
      </w:r>
    </w:p>
    <w:p>
      <w:pPr>
        <w:pStyle w:val="PargrafodaLista"/>
        <w:spacing w:line="360" w:lineRule="auto"/>
        <w:ind w:left="0"/>
        <w:jc w:val="center"/>
        <w:rPr>
          <w:rFonts w:ascii="Times New Roman" w:hAnsi="Times New Roman"/>
          <w:sz w:val="24"/>
          <w:szCs w:val="24"/>
        </w:rPr>
      </w:pPr>
      <m:oMathPara>
        <m:oMath>
          <m:r>
            <w:rPr>
              <w:rFonts w:ascii="Cambria Math" w:hAnsi="Cambria Math"/>
              <w:sz w:val="24"/>
              <w:szCs w:val="24"/>
            </w:rPr>
            <m:t xml:space="preserve">Z= </m:t>
          </m:r>
          <m:d>
            <m:dPr>
              <m:begChr m:val="{"/>
              <m:endChr m:val=""/>
              <m:ctrlPr>
                <w:rPr>
                  <w:rFonts w:ascii="Cambria Math" w:hAnsi="Cambria Math"/>
                  <w:sz w:val="24"/>
                  <w:szCs w:val="24"/>
                </w:rPr>
              </m:ctrlPr>
            </m:dPr>
            <m:e>
              <m:m>
                <m:mPr>
                  <m:plcHide m:val="1"/>
                  <m:mcs>
                    <m:mc>
                      <m:mcPr>
                        <m:count m:val="2"/>
                        <m:mcJc m:val="center"/>
                      </m:mcPr>
                    </m:mc>
                  </m:mcs>
                  <m:ctrlPr>
                    <w:rPr>
                      <w:rFonts w:ascii="Cambria Math" w:hAnsi="Cambria Math"/>
                      <w:sz w:val="24"/>
                      <w:szCs w:val="24"/>
                    </w:rPr>
                  </m:ctrlPr>
                </m:mPr>
                <m:mr>
                  <m:e>
                    <m:f>
                      <m:fPr>
                        <m:ctrlPr>
                          <w:rPr>
                            <w:rFonts w:ascii="Cambria Math" w:hAnsi="Cambria Math"/>
                            <w:sz w:val="24"/>
                            <w:szCs w:val="24"/>
                          </w:rPr>
                        </m:ctrlPr>
                      </m:fPr>
                      <m:num>
                        <m:r>
                          <w:rPr>
                            <w:rFonts w:ascii="Cambria Math" w:hAnsi="Cambria Math"/>
                            <w:sz w:val="24"/>
                            <w:szCs w:val="24"/>
                          </w:rPr>
                          <m:t>S-1</m:t>
                        </m:r>
                      </m:num>
                      <m:den>
                        <m:rad>
                          <m:radPr>
                            <m:degHide m:val="1"/>
                            <m:ctrlPr>
                              <w:rPr>
                                <w:rFonts w:ascii="Cambria Math" w:hAnsi="Cambria Math"/>
                                <w:sz w:val="24"/>
                                <w:szCs w:val="24"/>
                              </w:rPr>
                            </m:ctrlPr>
                          </m:radPr>
                          <m:deg/>
                          <m:e>
                            <m:r>
                              <m:rPr>
                                <m:sty m:val="p"/>
                              </m:rPr>
                              <w:rPr>
                                <w:rFonts w:ascii="Cambria Math" w:hAnsi="Cambria Math"/>
                                <w:sz w:val="24"/>
                                <w:szCs w:val="24"/>
                              </w:rPr>
                              <m:t>Var</m:t>
                            </m:r>
                            <m:r>
                              <w:rPr>
                                <w:rFonts w:ascii="Cambria Math" w:hAnsi="Cambria Math"/>
                                <w:sz w:val="24"/>
                                <w:szCs w:val="24"/>
                              </w:rPr>
                              <m:t>⁡(S)</m:t>
                            </m:r>
                          </m:e>
                        </m:rad>
                      </m:den>
                    </m:f>
                    <m:r>
                      <w:rPr>
                        <w:rFonts w:ascii="Cambria Math" w:hAnsi="Cambria Math"/>
                        <w:sz w:val="24"/>
                        <w:szCs w:val="24"/>
                      </w:rPr>
                      <m:t>,</m:t>
                    </m:r>
                  </m:e>
                  <m:e>
                    <m:r>
                      <w:rPr>
                        <w:rFonts w:ascii="Cambria Math" w:hAnsi="Cambria Math"/>
                        <w:sz w:val="24"/>
                        <w:szCs w:val="24"/>
                      </w:rPr>
                      <m:t>S&gt;0,</m:t>
                    </m:r>
                  </m:e>
                </m:mr>
                <m:mr>
                  <m:e>
                    <m:r>
                      <w:rPr>
                        <w:rFonts w:ascii="Cambria Math" w:hAnsi="Cambria Math"/>
                        <w:sz w:val="24"/>
                        <w:szCs w:val="24"/>
                      </w:rPr>
                      <m:t>0,</m:t>
                    </m:r>
                  </m:e>
                  <m:e>
                    <m:r>
                      <w:rPr>
                        <w:rFonts w:ascii="Cambria Math" w:hAnsi="Cambria Math"/>
                        <w:sz w:val="24"/>
                        <w:szCs w:val="24"/>
                      </w:rPr>
                      <m:t>S=0,</m:t>
                    </m:r>
                  </m:e>
                </m:mr>
                <m:mr>
                  <m:e>
                    <m:f>
                      <m:fPr>
                        <m:ctrlPr>
                          <w:rPr>
                            <w:rFonts w:ascii="Cambria Math" w:hAnsi="Cambria Math"/>
                            <w:sz w:val="24"/>
                            <w:szCs w:val="24"/>
                          </w:rPr>
                        </m:ctrlPr>
                      </m:fPr>
                      <m:num>
                        <m:r>
                          <w:rPr>
                            <w:rFonts w:ascii="Cambria Math" w:hAnsi="Cambria Math"/>
                            <w:sz w:val="24"/>
                            <w:szCs w:val="24"/>
                          </w:rPr>
                          <m:t>S+1</m:t>
                        </m:r>
                      </m:num>
                      <m:den>
                        <m:rad>
                          <m:radPr>
                            <m:degHide m:val="1"/>
                            <m:ctrlPr>
                              <w:rPr>
                                <w:rFonts w:ascii="Cambria Math" w:hAnsi="Cambria Math"/>
                                <w:sz w:val="24"/>
                                <w:szCs w:val="24"/>
                              </w:rPr>
                            </m:ctrlPr>
                          </m:radPr>
                          <m:deg/>
                          <m:e>
                            <m:r>
                              <m:rPr>
                                <m:sty m:val="p"/>
                              </m:rPr>
                              <w:rPr>
                                <w:rFonts w:ascii="Cambria Math" w:hAnsi="Cambria Math"/>
                                <w:sz w:val="24"/>
                                <w:szCs w:val="24"/>
                              </w:rPr>
                              <m:t>Var</m:t>
                            </m:r>
                            <m:r>
                              <w:rPr>
                                <w:rFonts w:ascii="Cambria Math" w:hAnsi="Cambria Math"/>
                                <w:sz w:val="24"/>
                                <w:szCs w:val="24"/>
                              </w:rPr>
                              <m:t>⁡(S)</m:t>
                            </m:r>
                          </m:e>
                        </m:rad>
                      </m:den>
                    </m:f>
                    <m:r>
                      <w:rPr>
                        <w:rFonts w:ascii="Cambria Math" w:hAnsi="Cambria Math"/>
                        <w:sz w:val="24"/>
                        <w:szCs w:val="24"/>
                      </w:rPr>
                      <m:t>,</m:t>
                    </m:r>
                  </m:e>
                  <m:e>
                    <m:r>
                      <w:rPr>
                        <w:rFonts w:ascii="Cambria Math" w:hAnsi="Cambria Math"/>
                        <w:sz w:val="24"/>
                        <w:szCs w:val="24"/>
                      </w:rPr>
                      <m:t>S&lt;0.</m:t>
                    </m:r>
                  </m:e>
                </m:mr>
              </m:m>
            </m:e>
          </m:d>
          <m:r>
            <w:rPr>
              <w:rFonts w:ascii="Cambria Math" w:hAnsi="Cambria Math"/>
              <w:sz w:val="24"/>
              <w:szCs w:val="24"/>
            </w:rPr>
            <m:t xml:space="preserve">                (12)</m:t>
          </m:r>
        </m:oMath>
      </m:oMathPara>
    </w:p>
    <w:p>
      <w:pPr>
        <w:pStyle w:val="PargrafodaLista"/>
        <w:spacing w:line="360" w:lineRule="auto"/>
        <w:ind w:left="360"/>
        <w:rPr>
          <w:rFonts w:ascii="Times New Roman" w:hAnsi="Times New Roman"/>
          <w:color w:val="EE0000"/>
          <w:sz w:val="24"/>
          <w:szCs w:val="24"/>
        </w:rPr>
      </w:pPr>
    </w:p>
    <w:p>
      <w:pPr>
        <w:pStyle w:val="PargrafodaLista"/>
        <w:spacing w:line="360" w:lineRule="auto"/>
        <w:ind w:left="142" w:firstLine="566"/>
        <w:jc w:val="both"/>
        <w:rPr>
          <w:rFonts w:ascii="Times New Roman" w:hAnsi="Times New Roman"/>
          <w:sz w:val="24"/>
          <w:szCs w:val="24"/>
        </w:rPr>
      </w:pPr>
      <w:r>
        <w:rPr>
          <w:rFonts w:ascii="Times New Roman" w:hAnsi="Times New Roman"/>
          <w:sz w:val="24"/>
          <w:szCs w:val="24"/>
        </w:rPr>
        <w:t xml:space="preserve">It may also be useful to report Kendall’s τ coefficient as a measure of the direction and strength of the ordinal association. The standardized Mann–Kendall Z statistic follows an approximately standard normal distribution under the null hypothesis of independent and identically distributed observations. In the absence of ties, Kendall’s τ is computed as follows:</w:t>
      </w:r>
    </w:p>
    <w:p>
      <w:pPr>
        <w:pStyle w:val="PargrafodaLista"/>
        <w:spacing w:line="360" w:lineRule="auto"/>
        <w:ind w:left="0"/>
        <w:jc w:val="center"/>
        <w:rPr>
          <w:rFonts w:ascii="Times New Roman" w:hAnsi="Times New Roman"/>
          <w:sz w:val="24"/>
          <w:szCs w:val="24"/>
        </w:rPr>
      </w:pPr>
      <m:oMathPara>
        <m:oMath>
          <m:r>
            <m:rPr>
              <m:sty m:val="p"/>
            </m:rPr>
            <w:rPr>
              <w:rFonts w:ascii="Cambria Math" w:hAnsi="Cambria Math"/>
              <w:color w:val="2F75B5"/>
              <w:sz w:val="24"/>
              <w:szCs w:val="24"/>
            </w:rPr>
            <m:t>τ</m:t>
          </m:r>
          <m:r>
            <m:rPr>
              <m:sty m:val="p"/>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S</m:t>
              </m:r>
            </m:num>
            <m:den>
              <m:d>
                <m:dPr>
                  <m:ctrlPr>
                    <w:rPr>
                      <w:rFonts w:ascii="Cambria Math" w:hAnsi="Cambria Math"/>
                      <w:sz w:val="24"/>
                      <w:szCs w:val="24"/>
                    </w:rPr>
                  </m:ctrlPr>
                </m:dPr>
                <m:e>
                  <m:f>
                    <m:fPr>
                      <m:type m:val="noBar"/>
                      <m:ctrlPr>
                        <w:rPr>
                          <w:rFonts w:ascii="Cambria Math" w:hAnsi="Cambria Math"/>
                          <w:sz w:val="24"/>
                          <w:szCs w:val="24"/>
                        </w:rPr>
                      </m:ctrlPr>
                    </m:fPr>
                    <m:num>
                      <m:r>
                        <w:rPr>
                          <w:rFonts w:ascii="Cambria Math" w:hAnsi="Cambria Math"/>
                          <w:sz w:val="24"/>
                          <w:szCs w:val="24"/>
                        </w:rPr>
                        <m:t>T</m:t>
                      </m:r>
                    </m:num>
                    <m:den>
                      <m:r>
                        <w:rPr>
                          <w:rFonts w:ascii="Cambria Math" w:hAnsi="Cambria Math"/>
                          <w:sz w:val="24"/>
                          <w:szCs w:val="24"/>
                        </w:rPr>
                        <m:t>2</m:t>
                      </m:r>
                    </m:den>
                  </m:f>
                </m:e>
              </m:d>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2S</m:t>
              </m:r>
            </m:num>
            <m:den>
              <m:r>
                <w:rPr>
                  <w:rFonts w:ascii="Cambria Math" w:hAnsi="Cambria Math"/>
                  <w:sz w:val="24"/>
                  <w:szCs w:val="24"/>
                </w:rPr>
                <m:t>T(T-1)</m:t>
              </m:r>
            </m:den>
          </m:f>
          <m:r>
            <w:rPr>
              <w:rFonts w:ascii="Cambria Math" w:hAnsi="Cambria Math"/>
              <w:sz w:val="24"/>
              <w:szCs w:val="24"/>
            </w:rPr>
            <m:t xml:space="preserve">              (13)</m:t>
          </m:r>
        </m:oMath>
      </m:oMathPara>
    </w:p>
    <w:p>
      <w:pPr>
        <w:pStyle w:val="PargrafodaLista"/>
        <w:spacing w:line="360" w:lineRule="auto"/>
        <w:ind w:left="142" w:firstLine="566"/>
        <w:jc w:val="both"/>
        <w:rPr>
          <w:rFonts w:ascii="Times New Roman" w:hAnsi="Times New Roman"/>
          <w:sz w:val="24"/>
          <w:szCs w:val="24"/>
        </w:rPr>
      </w:pPr>
      <w:r>
        <w:rPr>
          <w:rFonts w:ascii="Times New Roman" w:hAnsi="Times New Roman"/>
          <w:sz w:val="24"/>
          <w:szCs w:val="24"/>
        </w:rPr>
        <w:t xml:space="preserve">A complementary analysis for the numerical intensity of the trend pattern may be provided by Sen’s slope [see Sen (1968)] that is based on the slopes between all the pairs of observations:</w:t>
      </w:r>
    </w:p>
    <w:p>
      <w:pPr>
        <w:pStyle w:val="PargrafodaLista"/>
        <w:spacing w:line="360" w:lineRule="auto"/>
        <w:ind w:left="142" w:firstLine="566"/>
        <w:jc w:val="both"/>
        <w:rPr>
          <w:rFonts w:ascii="Times New Roman" w:hAnsi="Times New Roman"/>
          <w:sz w:val="24"/>
          <w:szCs w:val="24"/>
        </w:rPr>
      </w:pPr>
      <m:oMath>
        <m:sSub>
          <m:sSubPr>
            <m:ctrlPr>
              <w:rPr>
                <w:rFonts w:ascii="Cambria Math" w:hAnsi="Cambria Math"/>
                <w:iCs/>
                <w:sz w:val="24"/>
                <w:szCs w:val="24"/>
              </w:rPr>
            </m:ctrlPr>
          </m:sSubPr>
          <m:e>
            <m:r>
              <m:rPr>
                <m:sty m:val="p"/>
              </m:rPr>
              <w:rPr>
                <w:rFonts w:ascii="Cambria Math" w:hAnsi="Cambria Math"/>
                <w:sz w:val="24"/>
                <w:szCs w:val="24"/>
              </w:rPr>
              <m:t>Q</m:t>
            </m:r>
          </m:e>
          <m:sub>
            <m:r>
              <m:rPr>
                <m:sty m:val="p"/>
              </m:rPr>
              <w:rPr>
                <w:rFonts w:ascii="Cambria Math" w:hAnsi="Cambria Math"/>
                <w:sz w:val="24"/>
                <w:szCs w:val="24"/>
              </w:rPr>
              <m:t>ij</m:t>
            </m:r>
          </m:sub>
        </m:sSub>
        <m:r>
          <m:rPr>
            <m:sty m:val="p"/>
          </m:rPr>
          <w:rPr>
            <w:rFonts w:ascii="Cambria Math" w:hAnsi="Cambria Math"/>
            <w:sz w:val="24"/>
            <w:szCs w:val="24"/>
          </w:rPr>
          <m:t xml:space="preserve">= </m:t>
        </m:r>
        <m:f>
          <m:fPr>
            <m:ctrlPr>
              <w:rPr>
                <w:rFonts w:ascii="Cambria Math" w:hAnsi="Cambria Math"/>
                <w:iCs/>
                <w:sz w:val="24"/>
                <w:szCs w:val="24"/>
              </w:rPr>
            </m:ctrlPr>
          </m:fPr>
          <m:num>
            <m:sSub>
              <m:sSubPr>
                <m:ctrlPr>
                  <w:rPr>
                    <w:rFonts w:ascii="Cambria Math" w:hAnsi="Cambria Math"/>
                    <w:iCs/>
                    <w:sz w:val="24"/>
                    <w:szCs w:val="24"/>
                  </w:rPr>
                </m:ctrlPr>
              </m:sSubPr>
              <m:e>
                <m:acc>
                  <m:accPr>
                    <m:ctrlPr>
                      <w:rPr>
                        <w:rFonts w:ascii="Cambria Math" w:hAnsi="Cambria Math"/>
                        <w:iCs/>
                        <w:sz w:val="24"/>
                        <w:szCs w:val="24"/>
                      </w:rPr>
                    </m:ctrlPr>
                  </m:accPr>
                  <m:e>
                    <m:r>
                      <m:rPr>
                        <m:sty m:val="p"/>
                      </m:rPr>
                      <w:rPr>
                        <w:rFonts w:ascii="Cambria Math" w:hAnsi="Cambria Math"/>
                        <w:sz w:val="24"/>
                        <w:szCs w:val="24"/>
                      </w:rPr>
                      <m:t>α</m:t>
                    </m:r>
                  </m:e>
                </m:acc>
              </m:e>
              <m:sub>
                <m:r>
                  <m:rPr>
                    <m:sty m:val="p"/>
                  </m:rPr>
                  <w:rPr>
                    <w:rFonts w:ascii="Cambria Math" w:hAnsi="Cambria Math"/>
                    <w:sz w:val="24"/>
                    <w:szCs w:val="24"/>
                  </w:rPr>
                  <m:t>j</m:t>
                </m:r>
              </m:sub>
            </m:sSub>
            <m:r>
              <m:rPr>
                <m:sty m:val="p"/>
              </m:rPr>
              <w:rPr>
                <w:rFonts w:ascii="Cambria Math" w:hAnsi="Cambria Math"/>
                <w:sz w:val="24"/>
                <w:szCs w:val="24"/>
              </w:rPr>
              <m:t>-</m:t>
            </m:r>
            <m:sSub>
              <m:sSubPr>
                <m:ctrlPr>
                  <w:rPr>
                    <w:rFonts w:ascii="Cambria Math" w:hAnsi="Cambria Math"/>
                    <w:iCs/>
                    <w:sz w:val="24"/>
                    <w:szCs w:val="24"/>
                  </w:rPr>
                </m:ctrlPr>
              </m:sSubPr>
              <m:e>
                <m:acc>
                  <m:accPr>
                    <m:ctrlPr>
                      <w:rPr>
                        <w:rFonts w:ascii="Cambria Math" w:hAnsi="Cambria Math"/>
                        <w:iCs/>
                        <w:sz w:val="24"/>
                        <w:szCs w:val="24"/>
                      </w:rPr>
                    </m:ctrlPr>
                  </m:accPr>
                  <m:e>
                    <m:r>
                      <m:rPr>
                        <m:sty m:val="p"/>
                      </m:rPr>
                      <w:rPr>
                        <w:rFonts w:ascii="Cambria Math" w:hAnsi="Cambria Math"/>
                        <w:sz w:val="24"/>
                        <w:szCs w:val="24"/>
                      </w:rPr>
                      <m:t>α</m:t>
                    </m:r>
                  </m:e>
                </m:acc>
              </m:e>
              <m:sub>
                <m:r>
                  <m:rPr>
                    <m:sty m:val="p"/>
                  </m:rPr>
                  <w:rPr>
                    <w:rFonts w:ascii="Cambria Math" w:hAnsi="Cambria Math"/>
                    <w:sz w:val="24"/>
                    <w:szCs w:val="24"/>
                  </w:rPr>
                  <m:t>i</m:t>
                </m:r>
              </m:sub>
            </m:sSub>
          </m:num>
          <m:den>
            <m:r>
              <m:rPr>
                <m:sty m:val="p"/>
              </m:rPr>
              <w:rPr>
                <w:rFonts w:ascii="Cambria Math" w:hAnsi="Cambria Math"/>
                <w:sz w:val="24"/>
                <w:szCs w:val="24"/>
              </w:rPr>
              <m:t>j-i</m:t>
            </m:r>
          </m:den>
        </m:f>
        <m:r>
          <m:rPr>
            <m:sty m:val="p"/>
          </m:rPr>
          <w:rPr>
            <w:rFonts w:ascii="Cambria Math" w:hAnsi="Cambria Math"/>
            <w:sz w:val="24"/>
            <w:szCs w:val="24"/>
          </w:rPr>
          <m:t>, j&gt;i</m:t>
        </m:r>
      </m:oMath>
      <w:r>
        <w:rPr>
          <w:rFonts w:ascii="Times New Roman" w:hAnsi="Times New Roman"/>
          <w:sz w:val="24"/>
          <w:szCs w:val="24"/>
        </w:rPr>
        <w:t xml:space="preserve">     (14)</w:t>
      </w:r>
    </w:p>
    <w:p>
      <w:pPr>
        <w:pStyle w:val="PargrafodaLista"/>
        <w:spacing w:line="360" w:lineRule="auto"/>
        <w:ind w:left="142" w:firstLine="566"/>
        <w:jc w:val="both"/>
        <w:rPr>
          <w:rFonts w:ascii="Times New Roman" w:hAnsi="Times New Roman"/>
          <w:sz w:val="24"/>
          <w:szCs w:val="24"/>
        </w:rPr>
      </w:pPr>
      <w:r>
        <w:rPr>
          <w:rFonts w:ascii="Times New Roman" w:hAnsi="Times New Roman"/>
          <w:sz w:val="24"/>
          <w:szCs w:val="24"/>
        </w:rPr>
        <w:t xml:space="preserve">where the estimator is given by the median of those slopes as </w:t>
      </w:r>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β</m:t>
                </m:r>
              </m:e>
            </m:acc>
          </m:e>
          <m:sub>
            <m:r>
              <w:rPr>
                <w:rFonts w:ascii="Cambria Math" w:hAnsi="Cambria Math"/>
                <w:sz w:val="24"/>
                <w:szCs w:val="24"/>
              </w:rPr>
              <m:t>Sen</m:t>
            </m:r>
          </m:sub>
        </m:sSub>
        <m:r>
          <w:rPr>
            <w:rFonts w:ascii="Cambria Math" w:hAnsi="Cambria Math"/>
            <w:sz w:val="24"/>
            <w:szCs w:val="24"/>
          </w:rPr>
          <m:t>=</m:t>
        </m:r>
        <m:r>
          <m:rPr>
            <m:sty m:val="p"/>
          </m:rPr>
          <w:rPr>
            <w:rFonts w:ascii="Cambria Math" w:hAnsi="Cambria Math"/>
            <w:sz w:val="24"/>
            <w:szCs w:val="24"/>
          </w:rPr>
          <m:t>median</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ij</m:t>
            </m:r>
          </m:sub>
        </m:sSub>
        <m:r>
          <w:rPr>
            <w:rFonts w:ascii="Cambria Math" w:hAnsi="Cambria Math"/>
            <w:sz w:val="24"/>
            <w:szCs w:val="24"/>
          </w:rPr>
          <m:t>)</m:t>
        </m:r>
        <m:r>
          <m:rPr>
            <m:sty m:val="p"/>
          </m:rPr>
          <w:rPr>
            <w:rFonts w:ascii="Cambria Math" w:hAnsi="Cambria Math"/>
            <w:sz w:val="24"/>
            <w:szCs w:val="24"/>
          </w:rPr>
          <m:t>.</m:t>
        </m:r>
      </m:oMath>
    </w:p>
    <w:p>
      <w:pPr>
        <w:pStyle w:val="PargrafodaLista"/>
        <w:spacing w:line="360" w:lineRule="auto"/>
        <w:ind w:left="142" w:firstLine="566"/>
        <w:jc w:val="both"/>
        <w:rPr>
          <w:rFonts w:ascii="Times New Roman" w:hAnsi="Times New Roman"/>
          <w:sz w:val="24"/>
          <w:szCs w:val="24"/>
        </w:rPr>
      </w:pPr>
      <w:r>
        <w:rPr>
          <w:rFonts w:ascii="Times New Roman" w:hAnsi="Times New Roman"/>
          <w:color w:val="000000"/>
          <w:sz w:val="24"/>
          <w:szCs w:val="24"/>
        </w:rPr>
        <w:t xml:space="preserve">For the annual top-100 MLE tail exponents over 1999–2024 (T = 26), the Mann–Kendall test yields S = −235 and a continuity-corrected standardized statistic Z = −5.158, with a two-sided normal-approximation p-value of 2.500 × 10⁻⁷. Kendall’s τ = −0.723 indicates a negative ordinal association with time, and Sen’s slope is −0.014 per year. The mean Hill exponent is 1.267 in 1999–2009 and 1.050 in 2010–2024; several estimates in 2018–2023 are at or below 1, with a rebound to 1.119 in 2024. These estimates reveal a persistent downward shift between the pre-2010 and post-2010 periods, consistent with the structural break identified below. The Mann–Kendall calibration assumes independent annual observations; its p-value should therefore be interpreted conditionally on that assumption.</w:t>
      </w:r>
    </w:p>
    <w:p>
      <w:pPr>
        <w:pStyle w:val="PargrafodaLista"/>
        <w:spacing w:line="360" w:lineRule="auto"/>
        <w:ind w:left="142" w:firstLine="566"/>
        <w:jc w:val="both"/>
        <w:rPr>
          <w:rFonts w:ascii="Times New Roman" w:hAnsi="Times New Roman"/>
          <w:color w:val="000000"/>
          <w:sz w:val="24"/>
          <w:szCs w:val="24"/>
        </w:rPr>
      </w:pPr>
      <w:r>
        <w:rPr>
          <w:rFonts w:ascii="Times New Roman" w:hAnsi="Times New Roman"/>
          <w:color w:val="000000"/>
          <w:sz w:val="24"/>
          <w:szCs w:val="24"/>
        </w:rPr>
        <w:t xml:space="preserve">Figure 1 motivates a formal assessment of a structural break in the annual Hill exponents. Following the supremum testing approach of Andrews (1993), we use a weighted sup-Wald mean-shift test. For each candidate split, separate segment means are estimated using inverse-variance weights. The maximum Wald statistic tests a constant mean against a single level shift:</w:t>
      </w:r>
    </w:p>
    <w:p>
      <w:pPr>
        <w:spacing w:line="360" w:lineRule="auto"/>
        <w:jc w:val="center"/>
        <w:rPr>
          <w:rFonts w:ascii="Times New Roman" w:hAnsi="Times New Roman"/>
          <w:iCs/>
          <w:sz w:val="24"/>
          <w:szCs w:val="24"/>
        </w:rPr>
      </w:pPr>
      <m:oMathPara>
        <m:oMath>
          <m:func>
            <m:funcPr>
              <m:ctrlPr>
                <w:rPr>
                  <w:rFonts w:ascii="Cambria Math" w:hAnsi="Cambria Math"/>
                  <w:i/>
                </w:rPr>
              </m:ctrlPr>
            </m:funcPr>
            <m:fName>
              <m:r>
                <m:rPr>
                  <m:sty m:val="p"/>
                </m:rPr>
                <w:rPr>
                  <w:rFonts w:ascii="Cambria Math" w:hAnsi="Cambria Math"/>
                </w:rPr>
                <m:t xml:space="preserve">Sup</m:t>
              </m:r>
            </m:fName>
            <m:e>
              <m:r>
                <w:rPr>
                  <w:rFonts w:ascii="Cambria Math" w:hAnsi="Cambria Math"/>
                </w:rPr>
                <m:t xml:space="preserve">W</m:t>
              </m:r>
            </m:e>
          </m:func>
          <m:r>
            <w:rPr>
              <w:rFonts w:ascii="Cambria Math" w:hAnsi="Cambria Math"/>
            </w:rPr>
            <m:t xml:space="preserve">=</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 xml:space="preserve">sup</m:t>
                  </m:r>
                </m:e>
                <m:lim>
                  <m:sSub>
                    <m:sSubPr>
                      <m:ctrlPr>
                        <w:rPr>
                          <w:rFonts w:ascii="Cambria Math" w:hAnsi="Cambria Math"/>
                          <w:i/>
                        </w:rPr>
                      </m:ctrlPr>
                    </m:sSubPr>
                    <m:e>
                      <m:r>
                        <w:rPr>
                          <w:rFonts w:ascii="Cambria Math" w:hAnsi="Cambria Math"/>
                        </w:rPr>
                        <m:t xml:space="preserve">π</m:t>
                      </m:r>
                    </m:e>
                    <m:sub>
                      <m:r>
                        <w:rPr>
                          <w:rFonts w:ascii="Cambria Math" w:hAnsi="Cambria Math"/>
                        </w:rPr>
                        <m:t xml:space="preserve">1</m:t>
                      </m:r>
                    </m:sub>
                  </m:sSub>
                  <m:r>
                    <w:rPr>
                      <w:rFonts w:ascii="Cambria Math" w:hAnsi="Cambria Math"/>
                    </w:rPr>
                    <m:t xml:space="preserve">≤π≤</m:t>
                  </m:r>
                  <m:sSub>
                    <m:sSubPr>
                      <m:ctrlPr>
                        <w:rPr>
                          <w:rFonts w:ascii="Cambria Math" w:hAnsi="Cambria Math"/>
                          <w:i/>
                        </w:rPr>
                      </m:ctrlPr>
                    </m:sSubPr>
                    <m:e>
                      <m:r>
                        <w:rPr>
                          <w:rFonts w:ascii="Cambria Math" w:hAnsi="Cambria Math"/>
                        </w:rPr>
                        <m:t xml:space="preserve">π</m:t>
                      </m:r>
                    </m:e>
                    <m:sub>
                      <m:r>
                        <w:rPr>
                          <w:rFonts w:ascii="Cambria Math" w:hAnsi="Cambria Math"/>
                        </w:rPr>
                        <m:t xml:space="preserve">2</m:t>
                      </m:r>
                    </m:sub>
                  </m:sSub>
                </m:lim>
              </m:limLow>
            </m:fName>
            <m:e>
              <m:sSub>
                <m:sSubPr>
                  <m:ctrlPr>
                    <w:rPr>
                      <w:rFonts w:ascii="Cambria Math" w:hAnsi="Cambria Math"/>
                      <w:i/>
                    </w:rPr>
                  </m:ctrlPr>
                </m:sSubPr>
                <m:e>
                  <m:r>
                    <w:rPr>
                      <w:rFonts w:ascii="Cambria Math" w:hAnsi="Cambria Math"/>
                    </w:rPr>
                    <m:t xml:space="preserve">W</m:t>
                  </m:r>
                </m:e>
                <m:sub>
                  <m:r>
                    <w:rPr>
                      <w:rFonts w:ascii="Cambria Math" w:hAnsi="Cambria Math"/>
                    </w:rPr>
                    <m:t xml:space="preserve">T</m:t>
                  </m:r>
                </m:sub>
              </m:sSub>
            </m:e>
          </m:func>
          <m:r>
            <w:rPr>
              <w:rFonts w:ascii="Cambria Math" w:hAnsi="Cambria Math"/>
            </w:rPr>
            <m:t xml:space="preserve">(π)  (15)</m:t>
          </m:r>
        </m:oMath>
      </m:oMathPara>
    </w:p>
    <w:p>
      <w:pPr>
        <w:pStyle w:val="PargrafodaLista"/>
        <w:spacing w:line="360" w:lineRule="auto"/>
        <w:ind w:left="142" w:firstLine="566"/>
        <w:jc w:val="both"/>
        <w:rPr>
          <w:rFonts w:ascii="Times New Roman" w:hAnsi="Times New Roman"/>
          <w:sz w:val="24"/>
          <w:szCs w:val="24"/>
        </w:rPr>
      </w:pPr>
      <w:r>
        <w:rPr>
          <w:rFonts w:ascii="Times New Roman" w:hAnsi="Times New Roman"/>
          <w:sz w:val="24"/>
          <w:szCs w:val="24"/>
        </w:rPr>
        <w:t xml:space="preserve">where </w:t>
      </w:r>
      <m:oMath>
        <m:sSub>
          <m:sSubPr>
            <m:ctrlPr>
              <w:rPr>
                <w:rFonts w:ascii="Cambria Math" w:hAnsi="Cambria Math"/>
                <w:i/>
              </w:rPr>
            </m:ctrlPr>
          </m:sSubPr>
          <m:e>
            <m:r>
              <w:rPr>
                <w:rFonts w:ascii="Cambria Math" w:hAnsi="Cambria Math"/>
              </w:rPr>
              <m:t xml:space="preserve">W</m:t>
            </m:r>
          </m:e>
          <m:sub>
            <m:r>
              <w:rPr>
                <w:rFonts w:ascii="Cambria Math" w:hAnsi="Cambria Math"/>
              </w:rPr>
              <m:t xml:space="preserve">T</m:t>
            </m:r>
          </m:sub>
        </m:sSub>
        <m:r>
          <w:rPr>
            <w:rFonts w:ascii="Cambria Math" w:hAnsi="Cambria Math"/>
          </w:rPr>
          <m:t xml:space="preserve">(π)</m:t>
        </m:r>
      </m:oMath>
      <w:r>
        <w:rPr>
          <w:rFonts w:ascii="Times New Roman" w:hAnsi="Times New Roman"/>
          <w:sz w:val="24"/>
          <w:szCs w:val="24"/>
        </w:rPr>
        <w:t xml:space="preserve"> denotes the Wald statistic for a candidate split at fraction π of the T annual observations. The search interval excludes endpoint splits.</w:t>
      </w:r>
    </w:p>
    <w:p>
      <w:pPr>
        <w:pStyle w:val="PargrafodaLista"/>
        <w:spacing w:line="360" w:lineRule="auto"/>
        <w:ind w:left="142" w:firstLine="566"/>
        <w:jc w:val="both"/>
        <w:rPr>
          <w:rFonts w:ascii="Times New Roman" w:hAnsi="Times New Roman"/>
          <w:sz w:val="24"/>
          <w:szCs w:val="24"/>
        </w:rPr>
      </w:pPr>
      <w:r>
        <w:rPr>
          <w:rFonts w:ascii="Times New Roman" w:hAnsi="Times New Roman"/>
          <w:sz w:val="24"/>
          <w:szCs w:val="24"/>
        </w:rPr>
        <w:t xml:space="preserve">The break search excludes candidate splits near the sample endpoints. With T = 26, the original weighted sup-Wald calculation searches splits k = 4,…,21, where k is the number of annual observations in the first segment. The maximum statistic is 22.105 and selects the split after 2009. A heteroskedastic parametric bootstrap under the no-break null, repeating the same candidate-date search in B = 20,000 replications, produces two exceedances; the corrected bootstrap p-value is (2 + 1)/(20,000 + 1) = 0.000150. The test therefore rejects the null of no structural break and identifies 2010 as the first year of the new regime. This calibration treats annual estimation errors as independent. We also report Pettitt’s (1979) rank-based change-point test, which is given by:</w:t>
      </w:r>
      <w:r>
        <w:rPr>
          <w:rStyle w:val="Refdenotaderodap"/>
          <w:rFonts w:ascii="Times New Roman" w:hAnsi="Times New Roman"/>
          <w:sz w:val="24"/>
          <w:szCs w:val="24"/>
        </w:rPr>
        <w:footnoteReference w:id="8"/>
      </w:r>
    </w:p>
    <w:p>
      <w:pPr>
        <w:spacing w:line="360" w:lineRule="auto"/>
        <w:jc w:val="center"/>
        <w:rPr>
          <w:rFonts w:ascii="Times New Roman" w:hAnsi="Times New Roman"/>
          <w:iCs/>
          <w:sz w:val="24"/>
          <w:szCs w:val="24"/>
        </w:rPr>
      </w:pPr>
      <m:oMathPara>
        <m:oMath>
          <m:sSub>
            <m:sSubPr>
              <m:ctrlPr>
                <w:rPr>
                  <w:rFonts w:ascii="Cambria Math" w:hAnsi="Cambria Math"/>
                  <w:iCs/>
                  <w:sz w:val="24"/>
                  <w:szCs w:val="24"/>
                </w:rPr>
              </m:ctrlPr>
            </m:sSubPr>
            <m:e>
              <m:r>
                <m:rPr>
                  <m:sty m:val="p"/>
                </m:rPr>
                <w:rPr>
                  <w:rFonts w:ascii="Cambria Math" w:hAnsi="Cambria Math"/>
                  <w:sz w:val="24"/>
                  <w:szCs w:val="24"/>
                </w:rPr>
                <m:t>U</m:t>
              </m:r>
            </m:e>
            <m:sub>
              <m:r>
                <m:rPr>
                  <m:sty m:val="p"/>
                </m:rPr>
                <w:rPr>
                  <w:rFonts w:ascii="Cambria Math" w:hAnsi="Cambria Math"/>
                  <w:sz w:val="24"/>
                  <w:szCs w:val="24"/>
                </w:rPr>
                <m:t>t,T</m:t>
              </m:r>
            </m:sub>
          </m:sSub>
          <m:r>
            <m:rPr>
              <m:sty m:val="p"/>
            </m:rPr>
            <w:rPr>
              <w:rFonts w:ascii="Cambria Math" w:hAnsi="Cambria Math"/>
              <w:sz w:val="24"/>
              <w:szCs w:val="24"/>
            </w:rPr>
            <m:t xml:space="preserve">= </m:t>
          </m:r>
          <m:nary>
            <m:naryPr>
              <m:chr m:val="∑"/>
              <m:limLoc m:val="undOvr"/>
              <m:ctrlPr>
                <w:rPr>
                  <w:rFonts w:ascii="Cambria Math" w:hAnsi="Cambria Math"/>
                  <w:iCs/>
                  <w:sz w:val="24"/>
                  <w:szCs w:val="24"/>
                </w:rPr>
              </m:ctrlPr>
            </m:naryPr>
            <m:sub>
              <m:r>
                <m:rPr>
                  <m:sty m:val="p"/>
                </m:rPr>
                <w:rPr>
                  <w:rFonts w:ascii="Cambria Math" w:hAnsi="Cambria Math"/>
                  <w:sz w:val="24"/>
                  <w:szCs w:val="24"/>
                </w:rPr>
                <m:t>i=1</m:t>
              </m:r>
            </m:sub>
            <m:sup>
              <m:r>
                <m:rPr>
                  <m:sty m:val="p"/>
                </m:rPr>
                <w:rPr>
                  <w:rFonts w:ascii="Cambria Math" w:hAnsi="Cambria Math"/>
                  <w:sz w:val="24"/>
                  <w:szCs w:val="24"/>
                </w:rPr>
                <m:t>t</m:t>
              </m:r>
            </m:sup>
            <m:e>
              <m:nary>
                <m:naryPr>
                  <m:chr m:val="∑"/>
                  <m:limLoc m:val="undOvr"/>
                  <m:ctrlPr>
                    <w:rPr>
                      <w:rFonts w:ascii="Cambria Math" w:hAnsi="Cambria Math"/>
                      <w:iCs/>
                      <w:sz w:val="24"/>
                      <w:szCs w:val="24"/>
                    </w:rPr>
                  </m:ctrlPr>
                </m:naryPr>
                <m:sub>
                  <m:r>
                    <m:rPr>
                      <m:sty m:val="p"/>
                    </m:rPr>
                    <w:rPr>
                      <w:rFonts w:ascii="Cambria Math" w:hAnsi="Cambria Math"/>
                      <w:sz w:val="24"/>
                      <w:szCs w:val="24"/>
                    </w:rPr>
                    <m:t>j=t+1</m:t>
                  </m:r>
                </m:sub>
                <m:sup>
                  <m:r>
                    <m:rPr>
                      <m:sty m:val="p"/>
                    </m:rPr>
                    <w:rPr>
                      <w:rFonts w:ascii="Cambria Math" w:hAnsi="Cambria Math"/>
                      <w:sz w:val="24"/>
                      <w:szCs w:val="24"/>
                    </w:rPr>
                    <m:t>T</m:t>
                  </m:r>
                </m:sup>
                <m:e>
                  <m:r>
                    <m:rPr>
                      <m:sty m:val="p"/>
                    </m:rPr>
                    <w:rPr>
                      <w:rFonts w:ascii="Cambria Math" w:hAnsi="Cambria Math"/>
                      <w:sz w:val="24"/>
                      <w:szCs w:val="24"/>
                    </w:rPr>
                    <m:t xml:space="preserve">sgn </m:t>
                  </m:r>
                </m:e>
              </m:nary>
            </m:e>
          </m:nary>
          <m:d>
            <m:dPr>
              <m:ctrlPr>
                <w:rPr>
                  <w:rFonts w:ascii="Cambria Math" w:hAnsi="Cambria Math"/>
                  <w:iCs/>
                  <w:sz w:val="24"/>
                  <w:szCs w:val="24"/>
                </w:rPr>
              </m:ctrlPr>
            </m:dPr>
            <m:e>
              <m:sSub>
                <m:sSubPr>
                  <m:ctrlPr>
                    <w:rPr>
                      <w:rFonts w:ascii="Cambria Math" w:hAnsi="Cambria Math"/>
                      <w:iCs/>
                      <w:sz w:val="24"/>
                      <w:szCs w:val="24"/>
                    </w:rPr>
                  </m:ctrlPr>
                </m:sSubPr>
                <m:e>
                  <m:acc>
                    <m:accPr>
                      <m:ctrlPr>
                        <w:rPr>
                          <w:rFonts w:ascii="Cambria Math" w:hAnsi="Cambria Math"/>
                          <w:iCs/>
                          <w:sz w:val="24"/>
                          <w:szCs w:val="24"/>
                        </w:rPr>
                      </m:ctrlPr>
                    </m:accPr>
                    <m:e>
                      <m:r>
                        <m:rPr>
                          <m:sty m:val="p"/>
                        </m:rPr>
                        <w:rPr>
                          <w:rFonts w:ascii="Cambria Math" w:hAnsi="Cambria Math"/>
                          <w:sz w:val="24"/>
                          <w:szCs w:val="24"/>
                        </w:rPr>
                        <m:t>α</m:t>
                      </m:r>
                    </m:e>
                  </m:acc>
                </m:e>
                <m:sub>
                  <m:r>
                    <m:rPr>
                      <m:sty m:val="p"/>
                    </m:rP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iCs/>
                      <w:sz w:val="24"/>
                      <w:szCs w:val="24"/>
                    </w:rPr>
                  </m:ctrlPr>
                </m:sSubPr>
                <m:e>
                  <m:acc>
                    <m:accPr>
                      <m:ctrlPr>
                        <w:rPr>
                          <w:rFonts w:ascii="Cambria Math" w:hAnsi="Cambria Math"/>
                          <w:iCs/>
                          <w:sz w:val="24"/>
                          <w:szCs w:val="24"/>
                        </w:rPr>
                      </m:ctrlPr>
                    </m:accPr>
                    <m:e>
                      <m:r>
                        <m:rPr>
                          <m:sty m:val="p"/>
                        </m:rPr>
                        <w:rPr>
                          <w:rFonts w:ascii="Cambria Math" w:hAnsi="Cambria Math"/>
                          <w:sz w:val="24"/>
                          <w:szCs w:val="24"/>
                        </w:rPr>
                        <m:t>α</m:t>
                      </m:r>
                    </m:e>
                  </m:acc>
                </m:e>
                <m:sub>
                  <m:r>
                    <m:rPr>
                      <m:sty m:val="p"/>
                    </m:rPr>
                    <w:rPr>
                      <w:rFonts w:ascii="Cambria Math" w:hAnsi="Cambria Math"/>
                      <w:sz w:val="24"/>
                      <w:szCs w:val="24"/>
                    </w:rPr>
                    <m:t>j</m:t>
                  </m:r>
                </m:sub>
              </m:sSub>
            </m:e>
          </m:d>
          <m:r>
            <m:rPr>
              <m:sty m:val="p"/>
            </m:rPr>
            <w:rPr>
              <w:rFonts w:ascii="Cambria Math" w:hAnsi="Cambria Math"/>
              <w:sz w:val="24"/>
              <w:szCs w:val="24"/>
            </w:rPr>
            <m:t xml:space="preserve">           (16)</m:t>
          </m:r>
        </m:oMath>
      </m:oMathPara>
    </w:p>
    <w:p>
      <w:pPr>
        <w:pStyle w:val="PargrafodaLista"/>
        <w:keepNext/>
        <w:spacing w:line="360" w:lineRule="auto"/>
        <w:ind w:left="142" w:firstLine="566"/>
        <w:jc w:val="both"/>
        <w:rPr>
          <w:rFonts w:ascii="Times New Roman" w:hAnsi="Times New Roman"/>
        </w:rPr>
      </w:pPr>
      <w:r>
        <w:rPr>
          <w:rFonts w:ascii="Times New Roman" w:hAnsi="Times New Roman"/>
        </w:rPr>
        <w:t xml:space="preserve">The estimated change point is</w:t>
      </w:r>
    </w:p>
    <w:p>
      <w:pPr>
        <w:pStyle w:val="Corpodetexto"/>
        <w:spacing w:line="360" w:lineRule="auto"/>
        <w:jc w:val="center"/>
        <w:rPr>
          <w:rFonts w:ascii="Times New Roman" w:hAnsi="Times New Roman"/>
          <w:lang w:val="pt-BR"/>
        </w:rPr>
      </w:pPr>
      <m:oMath>
        <m:acc>
          <m:accPr>
            <m:chr m:val="̂"/>
            <m:ctrlPr>
              <w:rPr>
                <w:rFonts w:ascii="Cambria Math" w:hAnsi="Cambria Math"/>
                <w:i/>
              </w:rPr>
            </m:ctrlPr>
          </m:accPr>
          <m:e>
            <m:r>
              <w:rPr>
                <w:rFonts w:ascii="Cambria Math" w:hAnsi="Cambria Math"/>
              </w:rPr>
              <m:t xml:space="preserve">τ</m:t>
            </m:r>
          </m:e>
        </m:acc>
        <m:r>
          <w:rPr>
            <w:rFonts w:ascii="Cambria Math" w:hAnsi="Cambria Math"/>
          </w:rPr>
          <m:t xml:space="preserve">=</m:t>
        </m:r>
        <m:r>
          <m:rPr>
            <m:sty m:val="p"/>
          </m:rPr>
          <w:rPr>
            <w:rFonts w:ascii="Cambria Math" w:hAnsi="Cambria Math"/>
          </w:rPr>
          <m:t xml:space="preserve">arg ma</m:t>
        </m:r>
        <m:sSub>
          <m:sSubPr>
            <m:ctrlPr>
              <w:rPr>
                <w:rFonts w:ascii="Cambria Math" w:hAnsi="Cambria Math"/>
                <w:i/>
              </w:rPr>
            </m:ctrlPr>
          </m:sSubPr>
          <m:e>
            <m:r>
              <m:rPr>
                <m:sty m:val="p"/>
              </m:rPr>
              <w:rPr>
                <w:rFonts w:ascii="Cambria Math" w:hAnsi="Cambria Math"/>
              </w:rPr>
              <m:t xml:space="preserve">x</m:t>
            </m:r>
          </m:e>
          <m:sub>
            <m:r>
              <w:rPr>
                <w:rFonts w:ascii="Cambria Math" w:hAnsi="Cambria Math"/>
              </w:rPr>
              <m:t xml:space="preserve">1≤t&lt;T</m:t>
            </m:r>
          </m:sub>
        </m:sSub>
        <m:r>
          <w:rPr>
            <w:rFonts w:ascii="Cambria Math" w:hAnsi="Cambria Math"/>
          </w:rPr>
          <m:t xml:space="preserve"> </m:t>
        </m:r>
        <m:d>
          <m:dPr>
            <m:begChr m:val="|"/>
            <m:sepChr m:val=""/>
            <m:endChr m:val="|"/>
            <m:ctrlPr>
              <w:rPr>
                <w:rFonts w:ascii="Cambria Math" w:hAnsi="Cambria Math"/>
                <w:i/>
              </w:rPr>
            </m:ctrlPr>
          </m:dPr>
          <m:e>
            <m:sSub>
              <m:sSubPr>
                <m:ctrlPr>
                  <w:rPr>
                    <w:rFonts w:ascii="Cambria Math" w:hAnsi="Cambria Math"/>
                    <w:i/>
                  </w:rPr>
                </m:ctrlPr>
              </m:sSubPr>
              <m:e>
                <m:r>
                  <w:rPr>
                    <w:rFonts w:ascii="Cambria Math" w:hAnsi="Cambria Math"/>
                  </w:rPr>
                  <m:t xml:space="preserve">U</m:t>
                </m:r>
              </m:e>
              <m:sub>
                <m:r>
                  <w:rPr>
                    <w:rFonts w:ascii="Cambria Math" w:hAnsi="Cambria Math"/>
                  </w:rPr>
                  <m:t xml:space="preserve">t,T</m:t>
                </m:r>
              </m:sub>
            </m:sSub>
          </m:e>
        </m:d>
      </m:oMath>
      <w:r>
        <w:rPr>
          <w:rFonts w:ascii="Times New Roman" w:hAnsi="Times New Roman"/>
          <w:lang w:val="pt-BR"/>
        </w:rPr>
        <w:t xml:space="preserve">        (17)</w:t>
        <w:br/>
      </w:r>
    </w:p>
    <w:p>
      <w:pPr>
        <w:pStyle w:val="PargrafodaLista"/>
        <w:spacing w:line="360" w:lineRule="auto"/>
        <w:ind w:left="142" w:firstLine="566"/>
        <w:jc w:val="both"/>
        <w:rPr>
          <w:rFonts w:ascii="Times New Roman" w:hAnsi="Times New Roman"/>
        </w:rPr>
      </w:pPr>
      <w:r>
        <w:rPr>
          <w:rFonts w:ascii="Times New Roman" w:hAnsi="Times New Roman"/>
        </w:rPr>
        <w:t xml:space="preserve">Under the null hypothesis of no structural break and assuming independent annual observations, the approximate p-value is given by:</w:t>
      </w:r>
    </w:p>
    <w:p>
      <w:pPr>
        <w:pStyle w:val="Corpodetexto"/>
        <w:spacing w:line="360" w:lineRule="auto"/>
        <w:jc w:val="center"/>
        <w:rPr>
          <w:rFonts w:ascii="Times New Roman" w:hAnsi="Times New Roman"/>
          <w:iCs/>
        </w:rPr>
      </w:pPr>
      <m:oMathPara>
        <m:oMath>
          <m:r>
            <w:rPr>
              <w:rFonts w:ascii="Cambria Math" w:hAnsi="Cambria Math"/>
            </w:rPr>
            <m:t xml:space="preserve">p≈2</m:t>
          </m:r>
          <m:func>
            <m:funcPr>
              <m:ctrlPr>
                <w:rPr>
                  <w:rFonts w:ascii="Cambria Math" w:hAnsi="Cambria Math"/>
                  <w:i/>
                </w:rPr>
              </m:ctrlPr>
            </m:funcPr>
            <m:fName>
              <m:r>
                <m:rPr>
                  <m:sty m:val="p"/>
                </m:rPr>
                <w:rPr>
                  <w:rFonts w:ascii="Cambria Math" w:hAnsi="Cambria Math"/>
                </w:rPr>
                <m:t xml:space="preserve">exp</m:t>
              </m:r>
            </m:fName>
            <m:e>
              <m:d>
                <m:dPr>
                  <m:begChr m:val="["/>
                  <m:sepChr m:val=""/>
                  <m:endChr m:val="]"/>
                  <m:ctrlPr>
                    <w:rPr>
                      <w:rFonts w:ascii="Cambria Math" w:hAnsi="Cambria Math"/>
                      <w:i/>
                    </w:rPr>
                  </m:ctrlPr>
                </m:dPr>
                <m:e>
                  <m:r>
                    <w:rPr>
                      <w:rFonts w:ascii="Cambria Math" w:hAnsi="Cambria Math"/>
                    </w:rPr>
                    <m:t xml:space="preserve">-</m:t>
                  </m:r>
                  <m:f>
                    <m:fPr>
                      <m:ctrlPr>
                        <w:rPr>
                          <w:rFonts w:ascii="Cambria Math" w:hAnsi="Cambria Math"/>
                          <w:i/>
                        </w:rPr>
                      </m:ctrlPr>
                    </m:fPr>
                    <m:num>
                      <m:r>
                        <w:rPr>
                          <w:rFonts w:ascii="Cambria Math" w:hAnsi="Cambria Math"/>
                        </w:rPr>
                        <m:t xml:space="preserve">6 </m:t>
                      </m:r>
                      <m:sSup>
                        <m:sSupPr>
                          <m:ctrlPr>
                            <w:rPr>
                              <w:rFonts w:ascii="Cambria Math" w:hAnsi="Cambria Math"/>
                              <w:i/>
                            </w:rPr>
                          </m:ctrlPr>
                        </m:sSupPr>
                        <m:e>
                          <m:r>
                            <w:rPr>
                              <w:rFonts w:ascii="Cambria Math" w:hAnsi="Cambria Math"/>
                            </w:rPr>
                            <m:t xml:space="preserve">K</m:t>
                          </m:r>
                        </m:e>
                        <m:sup>
                          <m:r>
                            <w:rPr>
                              <w:rFonts w:ascii="Cambria Math" w:hAnsi="Cambria Math"/>
                            </w:rPr>
                            <m:t xml:space="preserve">2</m:t>
                          </m:r>
                        </m:sup>
                      </m:sSup>
                    </m:num>
                    <m:den>
                      <m:sSup>
                        <m:sSupPr>
                          <m:ctrlPr>
                            <w:rPr>
                              <w:rFonts w:ascii="Cambria Math" w:hAnsi="Cambria Math"/>
                              <w:i/>
                            </w:rPr>
                          </m:ctrlPr>
                        </m:sSupPr>
                        <m:e>
                          <m:r>
                            <w:rPr>
                              <w:rFonts w:ascii="Cambria Math" w:hAnsi="Cambria Math"/>
                            </w:rPr>
                            <m:t xml:space="preserve">T</m:t>
                          </m:r>
                        </m:e>
                        <m:sup>
                          <m:r>
                            <w:rPr>
                              <w:rFonts w:ascii="Cambria Math" w:hAnsi="Cambria Math"/>
                            </w:rPr>
                            <m:t xml:space="preserve">3</m:t>
                          </m:r>
                        </m:sup>
                      </m:sSup>
                      <m:r>
                        <w:rPr>
                          <w:rFonts w:ascii="Cambria Math" w:hAnsi="Cambria Math"/>
                        </w:rPr>
                        <m:t xml:space="preserve">+</m:t>
                      </m:r>
                      <m:sSup>
                        <m:sSupPr>
                          <m:ctrlPr>
                            <w:rPr>
                              <w:rFonts w:ascii="Cambria Math" w:hAnsi="Cambria Math"/>
                              <w:i/>
                            </w:rPr>
                          </m:ctrlPr>
                        </m:sSupPr>
                        <m:e>
                          <m:r>
                            <w:rPr>
                              <w:rFonts w:ascii="Cambria Math" w:hAnsi="Cambria Math"/>
                            </w:rPr>
                            <m:t xml:space="preserve">T</m:t>
                          </m:r>
                        </m:e>
                        <m:sup>
                          <m:r>
                            <w:rPr>
                              <w:rFonts w:ascii="Cambria Math" w:hAnsi="Cambria Math"/>
                            </w:rPr>
                            <m:t xml:space="preserve">2</m:t>
                          </m:r>
                        </m:sup>
                      </m:sSup>
                    </m:den>
                  </m:f>
                </m:e>
              </m:d>
            </m:e>
          </m:func>
          <m:r>
            <w:rPr>
              <w:rFonts w:ascii="Cambria Math" w:hAnsi="Cambria Math"/>
            </w:rPr>
            <m:t xml:space="preserve">  </m:t>
          </m:r>
          <m:r>
            <m:rPr>
              <m:nor/>
              <m:sty m:val="p"/>
            </m:rPr>
            <w:rPr>
              <w:rFonts w:ascii="Cambria Math" w:hAnsi="Cambria Math"/>
            </w:rPr>
            <m:t xml:space="preserve">where </m:t>
          </m:r>
          <m:r>
            <w:rPr>
              <w:rFonts w:ascii="Cambria Math" w:hAnsi="Cambria Math"/>
            </w:rPr>
            <m:t xml:space="preserve">K=</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 xml:space="preserve">max</m:t>
                  </m:r>
                </m:e>
                <m:lim>
                  <m:r>
                    <w:rPr>
                      <w:rFonts w:ascii="Cambria Math" w:hAnsi="Cambria Math"/>
                    </w:rPr>
                    <m:t xml:space="preserve">1≤t&lt;T</m:t>
                  </m:r>
                </m:lim>
              </m:limLow>
            </m:fName>
            <m:e>
              <m:d>
                <m:dPr>
                  <m:begChr m:val="|"/>
                  <m:sepChr m:val=""/>
                  <m:endChr m:val="|"/>
                  <m:ctrlPr>
                    <w:rPr>
                      <w:rFonts w:ascii="Cambria Math" w:hAnsi="Cambria Math"/>
                      <w:i/>
                    </w:rPr>
                  </m:ctrlPr>
                </m:dPr>
                <m:e>
                  <m:sSub>
                    <m:sSubPr>
                      <m:ctrlPr>
                        <w:rPr>
                          <w:rFonts w:ascii="Cambria Math" w:hAnsi="Cambria Math"/>
                          <w:i/>
                        </w:rPr>
                      </m:ctrlPr>
                    </m:sSubPr>
                    <m:e>
                      <m:r>
                        <w:rPr>
                          <w:rFonts w:ascii="Cambria Math" w:hAnsi="Cambria Math"/>
                        </w:rPr>
                        <m:t xml:space="preserve">U</m:t>
                      </m:r>
                    </m:e>
                    <m:sub>
                      <m:r>
                        <w:rPr>
                          <w:rFonts w:ascii="Cambria Math" w:hAnsi="Cambria Math"/>
                        </w:rPr>
                        <m:t xml:space="preserve">t,T</m:t>
                      </m:r>
                    </m:sub>
                  </m:sSub>
                </m:e>
              </m:d>
            </m:e>
          </m:func>
          <m:r>
            <w:rPr>
              <w:rFonts w:ascii="Cambria Math" w:hAnsi="Cambria Math"/>
            </w:rPr>
            <m:t xml:space="preserve">.  (18)</m:t>
          </m:r>
        </m:oMath>
      </m:oMathPara>
    </w:p>
    <w:p>
      <w:pPr>
        <w:pStyle w:val="Corpodetexto"/>
        <w:spacing w:line="360" w:lineRule="auto"/>
        <w:jc w:val="center"/>
        <w:rPr>
          <w:rFonts w:ascii="Times New Roman" w:hAnsi="Times New Roman"/>
          <w:lang w:val="pt-BR"/>
        </w:rPr>
      </w:pPr>
    </w:p>
    <w:p>
      <w:pPr>
        <w:pStyle w:val="PargrafodaLista"/>
        <w:spacing w:line="360" w:lineRule="auto"/>
        <w:ind w:left="142" w:firstLine="566"/>
        <w:jc w:val="both"/>
        <w:rPr>
          <w:rFonts w:ascii="Times New Roman" w:hAnsi="Times New Roman"/>
          <w:sz w:val="24"/>
          <w:szCs w:val="24"/>
        </w:rPr>
      </w:pPr>
      <w:r>
        <w:rPr>
          <w:rFonts w:ascii="Times New Roman" w:hAnsi="Times New Roman"/>
          <w:sz w:val="24"/>
          <w:szCs w:val="24"/>
        </w:rPr>
        <w:t xml:space="preserve">In the present application, K = 165 and the approximate p-value is 0.000260. Pettitt’s test rejects the null of no structural break and corroborates the weighted sup-Wald result. Both tests locate the break between 2009 and 2010, identifying 2010 as the start of the post-break regime. The agreement between the two tests supports the evidence of a structural change in the upper-tail exponent. The result is interesting as it is consistent with the commodity boom that would reach a peak in 2011. In the Brazilian case, massive subsidized funding was provided by the Brazilian development bank (Banco Nacional de Desenvolvimento Econômico e Social-BNDES) under the industrial policy strategy known as the national champions’ policy, which aimed at targeting specific firms in strategic sectors to make them global giants able to compete in the international market. Such policy mainly took place during 2007–2013. An emblematic example is given by JBS that from a relatively smaller scale became the largest firm of the world in the sector of animal protein, especially after the acquisition of major international competitors (Swift and Pilgrim’s Pride) after the favorable environment following the commodities’ boom. Such industrial policy also benefited firms outside the commodities’ segment as in telecommunications, technology and infrastructure. The adequacy of such policy is controversial but clearly the rise of superstar firms has a role in determining the thickness of the upper tail of the firm-size distribution. </w:t>
      </w:r>
      <w:r>
        <w:rPr>
          <w:rStyle w:val="Refdenotaderodap"/>
          <w:rFonts w:ascii="Times New Roman" w:hAnsi="Times New Roman"/>
          <w:sz w:val="24"/>
          <w:szCs w:val="24"/>
        </w:rPr>
        <w:footnoteReference w:id="9"/>
      </w:r>
    </w:p>
    <w:p>
      <w:pPr>
        <w:pStyle w:val="PargrafodaLista"/>
        <w:spacing w:line="360" w:lineRule="auto"/>
        <w:ind w:left="142" w:firstLine="566"/>
        <w:jc w:val="both"/>
        <w:rPr>
          <w:rFonts w:ascii="Times New Roman" w:hAnsi="Times New Roman"/>
        </w:rPr>
      </w:pPr>
      <w:r>
        <w:rPr>
          <w:rFonts w:ascii="Times New Roman" w:hAnsi="Times New Roman"/>
          <w:sz w:val="24"/>
          <w:szCs w:val="24"/>
        </w:rPr>
        <w:t xml:space="preserve">The detected structural break in 2010 reinforces the evidence of a thicker upper tail of the firm size distribution. The persistence of the post-break pattern can, in principle, be consistent with important heterogeneities of the Brazilian economy. It is possible that economic mechanisms associated with agglomeration and a propagation mechanism like co-agglomeration might be having a role in generating the referred power law pattern only for the upper tail of the distribution. In the case of the Brazilian manufacturing industry, there are some studies in Brazil</w:t>
      </w:r>
      <w:r>
        <w:rPr>
          <w:rFonts w:ascii="Times New Roman" w:hAnsi="Times New Roman"/>
        </w:rPr>
        <w:t xml:space="preserve"> that build on the spatial concentration measurement approaches advanced by Devereux et al. (2004), Ellison and Glaeser (1997, 1999) and Ellison et al. (2010) and Maurel and Sédillot (1999).</w:t>
      </w:r>
    </w:p>
    <w:p>
      <w:pPr>
        <w:pStyle w:val="PargrafodaLista"/>
        <w:spacing w:line="360" w:lineRule="auto"/>
        <w:ind w:left="142" w:firstLine="566"/>
        <w:jc w:val="both"/>
        <w:rPr>
          <w:rFonts w:ascii="Times New Roman" w:hAnsi="Times New Roman"/>
          <w:sz w:val="24"/>
          <w:szCs w:val="24"/>
        </w:rPr>
      </w:pPr>
      <w:r>
        <w:rPr>
          <w:rFonts w:ascii="Times New Roman" w:hAnsi="Times New Roman"/>
          <w:sz w:val="24"/>
          <w:szCs w:val="24"/>
        </w:rPr>
        <w:t xml:space="preserve">The empirical restriction of power law validity mostly for the 100 largest firms in Brazil requires an examination beyond purely stochastic generative mechanisms. This distinct statistical behavior in the extreme upper tail can be contextualized in terms of empirical economic geography in emerging markets. Specifically, the localized nature of industrial concentration in Brazil, characterized by severe sectoral heterogeneity and infrastructure constraint, suggests that Marshallian externalities do not scale linearly across the firm size distribution. Almeida and Rocha (2018) found econometric evidence of labor pooling in terms of sharing a specialized workforce in the Brazilian Northeast from 2002 to 2014, and indicated its positive role in explaining regional geographic concentration. </w:t>
      </w:r>
    </w:p>
    <w:p>
      <w:pPr>
        <w:pStyle w:val="PargrafodaLista"/>
        <w:tabs>
          <w:tab w:val="left" w:pos="0"/>
        </w:tabs>
        <w:spacing w:line="360" w:lineRule="auto"/>
        <w:ind w:left="142" w:firstLine="566"/>
        <w:jc w:val="both"/>
        <w:rPr>
          <w:rFonts w:ascii="Times New Roman" w:hAnsi="Times New Roman"/>
          <w:sz w:val="24"/>
          <w:szCs w:val="24"/>
        </w:rPr>
      </w:pPr>
      <w:r>
        <w:rPr>
          <w:rFonts w:ascii="Times New Roman" w:hAnsi="Times New Roman"/>
          <w:sz w:val="24"/>
          <w:szCs w:val="24"/>
        </w:rPr>
        <w:t xml:space="preserve">Resende and Wyllie (2005) undertook a comprehensive country-wide study on industrial agglomeration upon detailed firm-level data for Brazil over the 1995–2001 period. The evidence indicated that spatial agglomeration in Brazilian manufacturing is heavily concentrated within highly specialized hubs. It is likely that only the elite tier of the largest 100 firms possesses the localized infrastructure layout necessary to internalize these external economies of scale. </w:t>
      </w:r>
    </w:p>
    <w:p>
      <w:pPr>
        <w:pStyle w:val="PargrafodaLista"/>
        <w:spacing w:line="360" w:lineRule="auto"/>
        <w:ind w:left="142" w:firstLine="566"/>
        <w:jc w:val="both"/>
        <w:rPr>
          <w:rFonts w:ascii="Times New Roman" w:hAnsi="Times New Roman"/>
          <w:sz w:val="24"/>
          <w:szCs w:val="24"/>
        </w:rPr>
      </w:pPr>
      <w:r>
        <w:rPr>
          <w:rFonts w:ascii="Times New Roman" w:hAnsi="Times New Roman"/>
          <w:sz w:val="24"/>
          <w:szCs w:val="24"/>
        </w:rPr>
        <w:t xml:space="preserve">A possible relevant propagation mechanism for the aforementioned agglomeration effects, pertains to co-agglomeration when the structural dynamics of industrial agglomeration introduce interactive multi-sector multipliers that reinforce this tail extremity. Resende (2015) investigates the case of the state of Rio de Janeiro-Brazil in 2010 and the evidence indicated that the pairing of manufacturing sectors in space is heavily driven by labor pooling and intensive input-output linkages. </w:t>
      </w:r>
    </w:p>
    <w:p>
      <w:pPr>
        <w:pStyle w:val="PargrafodaLista"/>
        <w:spacing w:line="360" w:lineRule="auto"/>
        <w:ind w:left="142" w:firstLine="566"/>
        <w:jc w:val="both"/>
        <w:rPr>
          <w:rFonts w:ascii="Times New Roman" w:hAnsi="Times New Roman"/>
          <w:sz w:val="24"/>
          <w:szCs w:val="24"/>
        </w:rPr>
      </w:pPr>
      <w:r>
        <w:rPr>
          <w:rFonts w:ascii="Times New Roman" w:hAnsi="Times New Roman"/>
          <w:sz w:val="24"/>
          <w:szCs w:val="24"/>
        </w:rPr>
        <w:t xml:space="preserve">Altogether, the distinctive pattern associated with the upper tail of firm size distribution seems consistent with structural features of the Brazilian economy but one needs to be cautious and not force causal explanations. Clearly, one needs to advance in econometric analyses to uncover the underlying economic explanatory factors that provide the basis for the prevalence of power laws.</w:t>
      </w:r>
    </w:p>
    <w:p>
      <w:pPr>
        <w:pStyle w:val="PargrafodaLista"/>
        <w:spacing w:line="360" w:lineRule="auto"/>
        <w:ind w:left="142" w:firstLine="566"/>
        <w:jc w:val="both"/>
        <w:rPr>
          <w:rFonts w:ascii="Times New Roman" w:hAnsi="Times New Roman"/>
          <w:sz w:val="24"/>
          <w:szCs w:val="24"/>
        </w:rPr>
      </w:pPr>
    </w:p>
    <w:p>
      <w:pPr>
        <w:pStyle w:val="PargrafodaLista"/>
        <w:numPr>
          <w:ilvl w:val="0"/>
          <w:numId w:val="1"/>
        </w:numPr>
        <w:spacing w:line="360" w:lineRule="auto"/>
        <w:ind w:left="0" w:firstLine="0"/>
        <w:rPr>
          <w:rFonts w:ascii="Times New Roman" w:hAnsi="Times New Roman"/>
          <w:b/>
          <w:sz w:val="24"/>
          <w:szCs w:val="24"/>
        </w:rPr>
      </w:pPr>
      <w:r>
        <w:rPr>
          <w:rFonts w:ascii="Times New Roman" w:hAnsi="Times New Roman"/>
          <w:b/>
          <w:sz w:val="24"/>
          <w:szCs w:val="24"/>
        </w:rPr>
        <w:t xml:space="preserve">Final comments</w:t>
      </w:r>
    </w:p>
    <w:p>
      <w:pPr>
        <w:pStyle w:val="PargrafodaLista"/>
        <w:spacing w:line="360" w:lineRule="auto"/>
        <w:ind w:left="142" w:firstLine="566"/>
        <w:jc w:val="both"/>
        <w:rPr>
          <w:rFonts w:ascii="Times New Roman" w:hAnsi="Times New Roman"/>
          <w:sz w:val="24"/>
          <w:szCs w:val="24"/>
        </w:rPr>
      </w:pPr>
      <w:r>
        <w:rPr>
          <w:rFonts w:ascii="Times New Roman" w:hAnsi="Times New Roman"/>
          <w:sz w:val="24"/>
          <w:szCs w:val="24"/>
        </w:rPr>
        <w:t xml:space="preserve">The paper has investigated distributional properties of the largest firms in Brazil during the 1999–2024 period, taking as a reference net revenue shares. The main focus of the analysis refers to the assessment of the prevalence of simple power law patterns where a single shape parameter properly portrays the firm size distribution for its upper tail (1000, 500 and 100 largest firms). Specifically, the Pareto type I case or its particular case of the Zipf law were nested either within a Pareto type II or a more general Pareto type IV model.</w:t>
      </w:r>
    </w:p>
    <w:p>
      <w:pPr>
        <w:pStyle w:val="PargrafodaLista"/>
        <w:spacing w:line="360" w:lineRule="auto"/>
        <w:ind w:left="142" w:firstLine="566"/>
        <w:jc w:val="both"/>
        <w:rPr>
          <w:rFonts w:ascii="Times New Roman" w:hAnsi="Times New Roman"/>
          <w:sz w:val="24"/>
          <w:szCs w:val="24"/>
        </w:rPr>
      </w:pPr>
      <w:r>
        <w:rPr>
          <w:rFonts w:ascii="Times New Roman" w:hAnsi="Times New Roman"/>
          <w:sz w:val="24"/>
          <w:szCs w:val="24"/>
          <w:lang w:val="en-US"/>
        </w:rPr>
        <w:t xml:space="preserve">The evidence, thus obtained for a power law, is only stronger for the upper tail of the distribution corresponding to the largest 100 firms. In that portion, the case for a Pareto type model and even a Zipf model is appealing for a significant portion of the studied years. </w:t>
      </w:r>
      <w:r>
        <w:rPr>
          <w:rFonts w:ascii="Times New Roman" w:hAnsi="Times New Roman"/>
          <w:sz w:val="24"/>
          <w:szCs w:val="24"/>
        </w:rPr>
        <w:t xml:space="preserve">However, the power-law hypothesis is systematically rejected under a less strict cutoff point (500 and 1000 largest firms) in virtually all years.</w:t>
      </w:r>
    </w:p>
    <w:p>
      <w:pPr>
        <w:pStyle w:val="PargrafodaLista"/>
        <w:spacing w:line="360" w:lineRule="auto"/>
        <w:ind w:left="142" w:firstLine="566"/>
        <w:jc w:val="both"/>
        <w:rPr>
          <w:rFonts w:ascii="Times New Roman" w:hAnsi="Times New Roman"/>
          <w:sz w:val="24"/>
          <w:szCs w:val="24"/>
        </w:rPr>
      </w:pPr>
      <w:r>
        <w:rPr>
          <w:rFonts w:ascii="Times New Roman" w:hAnsi="Times New Roman"/>
          <w:sz w:val="24"/>
          <w:szCs w:val="24"/>
        </w:rPr>
        <w:t xml:space="preserve">The annual Pareto exponents for the largest 100 firms reveal a statistically significant downward trend and a structural break in 2010. The Mann–Kendall test detects the declining trend, while the weighted sup-Wald and Pettitt tests reject the null of no structural break and identify the split after 2009. The mean Hill exponent falls from 1.267 in 1999–2009 to 1.050 in 2010–2024, signaling a thicker upper tail and rising revenue concentration among superstar firms. The timing of the break is consistent with the commodity-boom period and motivates further investigation of its economic drivers.</w:t>
      </w:r>
    </w:p>
    <w:p>
      <w:pPr>
        <w:pStyle w:val="PargrafodaLista"/>
        <w:spacing w:line="360" w:lineRule="auto"/>
        <w:ind w:left="142" w:firstLine="566"/>
        <w:jc w:val="both"/>
        <w:rPr>
          <w:rFonts w:ascii="Times New Roman" w:hAnsi="Times New Roman"/>
          <w:sz w:val="24"/>
          <w:szCs w:val="24"/>
        </w:rPr>
      </w:pPr>
      <w:r>
        <w:rPr>
          <w:rFonts w:ascii="Times New Roman" w:hAnsi="Times New Roman"/>
          <w:sz w:val="24"/>
          <w:szCs w:val="24"/>
        </w:rPr>
        <w:t xml:space="preserve">Our findings suggest several avenues for future research. One promising direction is to investigate the drivers of the structural break in 2010, exploring how shifts in credit policy (such as lending from the Brazilian development bank BNDES), tax regimes, or trade shocks affected the growth of the largest firms, but foremost it is possible to detect two important gaps in the literature in general and of that pertaining to the Brazilian case:</w:t>
      </w:r>
    </w:p>
    <w:p>
      <w:pPr>
        <w:pStyle w:val="PargrafodaLista"/>
        <w:numPr>
          <w:ilvl w:val="0"/>
          <w:numId w:val="7"/>
        </w:numPr>
        <w:spacing w:line="360" w:lineRule="auto"/>
        <w:ind w:left="142" w:firstLine="566"/>
        <w:jc w:val="both"/>
        <w:rPr>
          <w:rFonts w:ascii="Times New Roman" w:hAnsi="Times New Roman"/>
          <w:sz w:val="24"/>
          <w:szCs w:val="24"/>
          <w:lang w:val="en-US"/>
        </w:rPr>
      </w:pPr>
      <w:r>
        <w:rPr>
          <w:rFonts w:ascii="Times New Roman" w:hAnsi="Times New Roman"/>
          <w:sz w:val="24"/>
          <w:szCs w:val="24"/>
          <w:lang w:val="en-US"/>
        </w:rPr>
        <w:t xml:space="preserve">An econometric investigation on the underlying economic factors explaining the Pareto exponent. In fact, possible consistencies with industrial agglomeration and coagglomeration patterns have been highlighted but the more primitive associated economic factors could be considered in an econometric study to enable causal assessments;</w:t>
      </w:r>
    </w:p>
    <w:p>
      <w:pPr>
        <w:pStyle w:val="PargrafodaLista"/>
        <w:numPr>
          <w:ilvl w:val="0"/>
          <w:numId w:val="7"/>
        </w:numPr>
        <w:spacing w:line="360" w:lineRule="auto"/>
        <w:ind w:left="142" w:firstLine="566"/>
        <w:jc w:val="both"/>
        <w:rPr>
          <w:rFonts w:ascii="Times New Roman" w:hAnsi="Times New Roman"/>
          <w:sz w:val="24"/>
          <w:szCs w:val="24"/>
          <w:lang w:val="en-US"/>
        </w:rPr>
      </w:pPr>
      <w:r>
        <w:rPr>
          <w:rFonts w:ascii="Times New Roman" w:hAnsi="Times New Roman"/>
          <w:sz w:val="24"/>
          <w:szCs w:val="24"/>
          <w:lang w:val="en-US"/>
        </w:rPr>
        <w:t xml:space="preserve">Investigation of the propagation of microeconomic shocks to macroeconomic shocks in terms of analyses of granularity that can emerge in the context of a very thick upper tail of the firm size distribution. The related literature for Brazil is still scarce. Da Silva et al. (2018) attempt to make statements on granularity solely on some evidence for power law prevalence for a given year with the upfront assumption of particular distributions with the absence of detailed testing and do not provide a quantification of the so-called granular residual and its possible aggregate impact. Santos (2026), on the other hand, builds on Gabaix (2011) and Blanco-Arroyo et al. (2018) and makes an initial effort on that neglected aspect. The study considers data sets of the largest 1000 firms in Brazil in terms of net revenues, over the 2000–2019 period and investigated the granular hypothesis. The quantification of the granular residual required matching of the database with employment data from another database so as to compute a proxy for labor productivity growth necessary for the computation. The evidence indicated sizable indicators that were considered in terms of a dynamic ARDL model to assess the aggregate impact on GDP. The econometric effort is limited by the small sample size but clearly such line of research appears to show unexplored potential for future investigations.</w:t>
        <w:br w:type="page"/>
      </w:r>
    </w:p>
    <w:p>
      <w:pPr>
        <w:pStyle w:val="PargrafodaLista"/>
        <w:spacing w:before="240" w:after="120" w:line="360" w:lineRule="auto"/>
        <w:ind w:left="0"/>
        <w:rPr>
          <w:rFonts w:ascii="Times New Roman" w:hAnsi="Times New Roman"/>
          <w:sz w:val="24"/>
          <w:szCs w:val="24"/>
          <w:lang w:val="en-US"/>
        </w:rPr>
      </w:pPr>
      <w:r>
        <w:rPr>
          <w:rFonts w:ascii="Times New Roman" w:hAnsi="Times New Roman"/>
          <w:b/>
          <w:sz w:val="24"/>
          <w:szCs w:val="24"/>
          <w:lang w:val="en-US"/>
        </w:rPr>
        <w:t xml:space="preserve">Data availability statement</w:t>
      </w:r>
    </w:p>
    <w:p>
      <w:pPr>
        <w:spacing w:line="360" w:lineRule="auto"/>
        <w:rPr>
          <w:rFonts w:ascii="Times New Roman" w:hAnsi="Times New Roman"/>
          <w:bCs/>
          <w:sz w:val="24"/>
          <w:szCs w:val="24"/>
          <w:lang w:val="en-US"/>
        </w:rPr>
      </w:pPr>
      <w:r>
        <w:rPr>
          <w:rFonts w:ascii="Times New Roman" w:hAnsi="Times New Roman"/>
          <w:bCs/>
          <w:sz w:val="24"/>
          <w:szCs w:val="24"/>
        </w:rPr>
        <w:t xml:space="preserve">The data that support the findings of this study are available from the corresponding author upon reasonable request.</w:t>
        <w:br w:type="page"/>
      </w:r>
    </w:p>
    <w:p>
      <w:pPr>
        <w:spacing w:before="240" w:after="120" w:line="360" w:lineRule="auto"/>
        <w:rPr>
          <w:rFonts w:ascii="Times New Roman" w:hAnsi="Times New Roman"/>
          <w:b/>
          <w:sz w:val="24"/>
          <w:szCs w:val="24"/>
          <w:lang w:val="en-US"/>
        </w:rPr>
      </w:pPr>
      <w:r>
        <w:rPr>
          <w:rFonts w:ascii="Times New Roman" w:hAnsi="Times New Roman"/>
          <w:b/>
          <w:sz w:val="24"/>
          <w:szCs w:val="24"/>
          <w:lang w:val="en-US"/>
        </w:rPr>
        <w:t xml:space="preserve">References</w:t>
      </w:r>
    </w:p>
    <w:p>
      <w:pPr>
        <w:shd w:val="clear" w:color="auto" w:fill="FFFFFF"/>
        <w:spacing w:after="120" w:line="360" w:lineRule="auto"/>
        <w:rPr>
          <w:rFonts w:ascii="Times New Roman" w:hAnsi="Times New Roman"/>
          <w:sz w:val="24"/>
          <w:szCs w:val="24"/>
        </w:rPr>
      </w:pPr>
      <w:r>
        <w:rPr>
          <w:rFonts w:ascii="Times New Roman" w:hAnsi="Times New Roman"/>
          <w:sz w:val="24"/>
          <w:szCs w:val="24"/>
        </w:rPr>
        <w:t xml:space="preserve">Almeida, E.T., Rocha, R.M. (2018), Labor pooling as an agglomeration factor: evidence from the Brazilian northeast in the 2002–2014 period, </w:t>
      </w:r>
      <w:r>
        <w:rPr>
          <w:rFonts w:ascii="Times New Roman" w:hAnsi="Times New Roman"/>
          <w:i/>
          <w:iCs/>
          <w:sz w:val="24"/>
          <w:szCs w:val="24"/>
        </w:rPr>
        <w:t xml:space="preserve">EconomiA</w:t>
      </w:r>
      <w:r>
        <w:rPr>
          <w:rFonts w:ascii="Times New Roman" w:hAnsi="Times New Roman"/>
          <w:sz w:val="24"/>
          <w:szCs w:val="24"/>
        </w:rPr>
        <w:t xml:space="preserve">, 19, 236-250, </w:t>
      </w:r>
      <w:hyperlink r:id="rId3" w:history="1">
        <w:r>
          <w:rPr>
            <w:rStyle w:val="Hyperlink"/>
            <w:rFonts w:ascii="Times New Roman" w:hAnsi="Times New Roman"/>
            <w:color w:val="auto"/>
            <w:sz w:val="24"/>
            <w:szCs w:val="24"/>
            <w:u w:val="none"/>
          </w:rPr>
          <w:t xml:space="preserve">https://doi.org/10.1016/j.econ.2018.02.002</w:t>
        </w:r>
      </w:hyperlink>
    </w:p>
    <w:p>
      <w:pPr>
        <w:shd w:val="clear" w:color="auto" w:fill="FFFFFF"/>
        <w:spacing w:after="120" w:line="360" w:lineRule="auto"/>
        <w:rPr>
          <w:rFonts w:ascii="Times New Roman" w:hAnsi="Times New Roman"/>
          <w:sz w:val="24"/>
          <w:szCs w:val="24"/>
          <w:lang w:val="en-US"/>
        </w:rPr>
      </w:pPr>
      <w:r>
        <w:rPr>
          <w:rFonts w:ascii="Times New Roman" w:hAnsi="Times New Roman"/>
          <w:sz w:val="24"/>
          <w:szCs w:val="24"/>
        </w:rPr>
        <w:t xml:space="preserve">Andrews, D. W. K. (1993), Tests for parameter instability and structural change with unknown change point, </w:t>
      </w:r>
      <w:r>
        <w:rPr>
          <w:rFonts w:ascii="Times New Roman" w:hAnsi="Times New Roman"/>
          <w:i/>
          <w:iCs/>
          <w:sz w:val="24"/>
          <w:szCs w:val="24"/>
        </w:rPr>
        <w:t xml:space="preserve">Econometrica</w:t>
      </w:r>
      <w:r>
        <w:rPr>
          <w:rFonts w:ascii="Times New Roman" w:hAnsi="Times New Roman"/>
          <w:sz w:val="24"/>
          <w:szCs w:val="24"/>
          <w:highlight w:val="none"/>
        </w:rPr>
        <w:t xml:space="preserve">, 61, 821-856, https://doi.org/10.2307/2951764</w:t>
      </w:r>
    </w:p>
    <w:p>
      <w:pPr>
        <w:shd w:val="clear" w:color="auto" w:fill="FFFFFF"/>
        <w:spacing w:after="120" w:line="360" w:lineRule="auto"/>
        <w:rPr>
          <w:rFonts w:ascii="Times New Roman" w:hAnsi="Times New Roman"/>
          <w:sz w:val="24"/>
          <w:szCs w:val="24"/>
          <w:highlight w:val="none"/>
          <w:shd w:val="clear" w:color="auto" w:fill="FFFFFF"/>
          <w:lang w:val="en-US"/>
        </w:rPr>
      </w:pPr>
      <w:r>
        <w:rPr>
          <w:rFonts w:ascii="Times New Roman" w:hAnsi="Times New Roman"/>
          <w:sz w:val="24"/>
          <w:szCs w:val="24"/>
          <w:highlight w:val="none"/>
          <w:lang w:val="en-US"/>
        </w:rPr>
        <w:t xml:space="preserve">Angelini, P., Generale, A. (2008), On the evolution of firm size distributions, </w:t>
      </w:r>
      <w:r>
        <w:rPr>
          <w:rFonts w:ascii="Times New Roman" w:hAnsi="Times New Roman"/>
          <w:i/>
          <w:iCs/>
          <w:sz w:val="24"/>
          <w:szCs w:val="24"/>
          <w:highlight w:val="none"/>
          <w:lang w:val="en-US"/>
        </w:rPr>
        <w:t xml:space="preserve">American Economic Review</w:t>
      </w:r>
      <w:r>
        <w:rPr>
          <w:rFonts w:ascii="Times New Roman" w:hAnsi="Times New Roman"/>
          <w:sz w:val="24"/>
          <w:szCs w:val="24"/>
          <w:highlight w:val="none"/>
          <w:lang w:val="en-US"/>
        </w:rPr>
        <w:t xml:space="preserve">, 98, </w:t>
      </w:r>
      <w:r>
        <w:rPr>
          <w:rFonts w:ascii="Times New Roman" w:hAnsi="Times New Roman"/>
          <w:sz w:val="24"/>
          <w:szCs w:val="24"/>
          <w:highlight w:val="none"/>
          <w:shd w:val="clear" w:color="auto" w:fill="FFFFFF"/>
          <w:lang w:val="en-US"/>
        </w:rPr>
        <w:t xml:space="preserve">426-438, https://doi.org/</w:t>
      </w:r>
      <w:r>
        <w:rPr>
          <w:rFonts w:ascii="Times New Roman" w:hAnsi="Times New Roman"/>
          <w:sz w:val="24"/>
          <w:szCs w:val="24"/>
          <w:highlight w:val="none"/>
          <w:shd w:val="clear" w:color="auto" w:fill="FFFFFF"/>
        </w:rPr>
        <w:t xml:space="preserve">10.1257/aer.98.1.426</w:t>
      </w:r>
    </w:p>
    <w:p>
      <w:pPr>
        <w:shd w:val="clear" w:color="auto" w:fill="FFFFFF"/>
        <w:spacing w:after="120" w:line="360" w:lineRule="auto"/>
        <w:rPr>
          <w:rFonts w:ascii="Times New Roman" w:hAnsi="Times New Roman"/>
          <w:iCs/>
          <w:sz w:val="24"/>
          <w:szCs w:val="24"/>
          <w:highlight w:val="none"/>
          <w:lang w:val="en-US"/>
        </w:rPr>
      </w:pPr>
      <w:r>
        <w:rPr>
          <w:rFonts w:ascii="Times New Roman" w:hAnsi="Times New Roman"/>
          <w:sz w:val="24"/>
          <w:szCs w:val="24"/>
          <w:highlight w:val="none"/>
          <w:shd w:val="clear" w:color="auto" w:fill="FFFFFF"/>
          <w:lang w:val="en-US"/>
        </w:rPr>
        <w:t xml:space="preserve">Arnold, B.C. (2015), </w:t>
      </w:r>
      <w:r>
        <w:rPr>
          <w:rFonts w:ascii="Times New Roman" w:hAnsi="Times New Roman"/>
          <w:i/>
          <w:iCs/>
          <w:sz w:val="24"/>
          <w:szCs w:val="24"/>
          <w:highlight w:val="none"/>
          <w:shd w:val="clear" w:color="auto" w:fill="FFFFFF"/>
          <w:lang w:val="en-US"/>
        </w:rPr>
        <w:t xml:space="preserve">Pareto distributions</w:t>
      </w:r>
      <w:r>
        <w:rPr>
          <w:rFonts w:ascii="Times New Roman" w:hAnsi="Times New Roman"/>
          <w:sz w:val="24"/>
          <w:szCs w:val="24"/>
          <w:highlight w:val="none"/>
          <w:shd w:val="clear" w:color="auto" w:fill="FFFFFF"/>
          <w:lang w:val="en-US"/>
        </w:rPr>
        <w:t xml:space="preserve">, Boca Raton-FL: CRC Press, </w:t>
      </w:r>
      <w:r>
        <w:rPr>
          <w:rFonts w:ascii="Times New Roman" w:hAnsi="Times New Roman"/>
          <w:iCs/>
          <w:sz w:val="24"/>
          <w:szCs w:val="24"/>
          <w:highlight w:val="none"/>
          <w:lang w:val="en-US"/>
        </w:rPr>
        <w:t xml:space="preserve">2nd ed.</w:t>
      </w:r>
    </w:p>
    <w:p>
      <w:pPr>
        <w:spacing w:after="120" w:line="360" w:lineRule="auto"/>
        <w:rPr>
          <w:rFonts w:ascii="Times New Roman" w:hAnsi="Times New Roman"/>
          <w:sz w:val="24"/>
          <w:szCs w:val="24"/>
        </w:rPr>
      </w:pPr>
      <w:r>
        <w:rPr>
          <w:rFonts w:ascii="Times New Roman" w:hAnsi="Times New Roman"/>
          <w:sz w:val="24"/>
          <w:szCs w:val="24"/>
        </w:rPr>
        <w:t xml:space="preserve">Autor, D., Dorn, D., Katz, L. F., Patterson, C., Van Reenen, J. (2020), The fall of the labor share and the rise of superstar firms, </w:t>
      </w:r>
      <w:r>
        <w:rPr>
          <w:rFonts w:ascii="Times New Roman" w:hAnsi="Times New Roman"/>
          <w:i/>
          <w:iCs/>
          <w:sz w:val="24"/>
          <w:szCs w:val="24"/>
        </w:rPr>
        <w:t xml:space="preserve">Quarterly Journal of Economics</w:t>
      </w:r>
      <w:r>
        <w:rPr>
          <w:rFonts w:ascii="Times New Roman" w:hAnsi="Times New Roman"/>
          <w:sz w:val="24"/>
          <w:szCs w:val="24"/>
        </w:rPr>
        <w:t xml:space="preserve">, 135, 645-709,  </w:t>
      </w:r>
      <w:hyperlink r:id="rId4" w:history="1">
        <w:r>
          <w:rPr>
            <w:rStyle w:val="Hyperlink"/>
            <w:rFonts w:ascii="Times New Roman" w:hAnsi="Times New Roman"/>
            <w:color w:val="auto"/>
            <w:sz w:val="24"/>
            <w:szCs w:val="24"/>
            <w:u w:val="none"/>
          </w:rPr>
          <w:t xml:space="preserve">https://doi.org/10.1093/qje/qjaa004</w:t>
        </w:r>
      </w:hyperlink>
    </w:p>
    <w:p>
      <w:pPr>
        <w:shd w:val="clear" w:color="auto" w:fill="FFFFFF"/>
        <w:spacing w:after="120" w:line="360" w:lineRule="auto"/>
        <w:rPr>
          <w:rFonts w:ascii="Times New Roman" w:hAnsi="Times New Roman"/>
          <w:sz w:val="24"/>
          <w:szCs w:val="24"/>
          <w:shd w:val="clear" w:color="auto" w:fill="FFFFFF"/>
          <w:lang w:val="en-US"/>
        </w:rPr>
      </w:pPr>
      <w:r>
        <w:rPr>
          <w:rFonts w:ascii="Times New Roman" w:hAnsi="Times New Roman"/>
          <w:sz w:val="24"/>
          <w:szCs w:val="24"/>
        </w:rPr>
        <w:t xml:space="preserve">Axtell, R. L. (2001), Zipf distribution of U.S. firm sizes, </w:t>
      </w:r>
      <w:r>
        <w:rPr>
          <w:rFonts w:ascii="Times New Roman" w:hAnsi="Times New Roman"/>
          <w:i/>
          <w:iCs/>
          <w:sz w:val="24"/>
          <w:szCs w:val="24"/>
        </w:rPr>
        <w:t xml:space="preserve">Science</w:t>
      </w:r>
      <w:r>
        <w:rPr>
          <w:rFonts w:ascii="Times New Roman" w:hAnsi="Times New Roman"/>
          <w:sz w:val="24"/>
          <w:szCs w:val="24"/>
        </w:rPr>
        <w:t xml:space="preserve">, 293, 1818-1820</w:t>
      </w:r>
    </w:p>
    <w:p>
      <w:pPr>
        <w:spacing w:after="120" w:line="360" w:lineRule="auto"/>
        <w:rPr>
          <w:rFonts w:ascii="Times New Roman" w:hAnsi="Times New Roman"/>
          <w:sz w:val="24"/>
          <w:szCs w:val="24"/>
        </w:rPr>
      </w:pPr>
      <w:r>
        <w:rPr>
          <w:rFonts w:ascii="Times New Roman" w:hAnsi="Times New Roman"/>
          <w:sz w:val="24"/>
          <w:szCs w:val="24"/>
        </w:rPr>
        <w:t xml:space="preserve">Blanco-Arroyo, O., Ruiz-Buforn, A., Vidal-Tomás, D., Alfarano, S. (2018), On the determination of the granular size of the economy, </w:t>
      </w:r>
      <w:r>
        <w:rPr>
          <w:rFonts w:ascii="Times New Roman" w:hAnsi="Times New Roman"/>
          <w:i/>
          <w:iCs/>
          <w:sz w:val="24"/>
          <w:szCs w:val="24"/>
        </w:rPr>
        <w:t xml:space="preserve">Economics Letters</w:t>
      </w:r>
      <w:r>
        <w:rPr>
          <w:rFonts w:ascii="Times New Roman" w:hAnsi="Times New Roman"/>
          <w:sz w:val="24"/>
          <w:szCs w:val="24"/>
        </w:rPr>
        <w:t xml:space="preserve">, 173, 35-38, https://doi.org/10.1016/j.econlet.2018.08.020</w:t>
      </w:r>
    </w:p>
    <w:p>
      <w:pPr>
        <w:spacing w:after="120" w:line="360" w:lineRule="auto"/>
        <w:rPr>
          <w:rFonts w:ascii="Times New Roman" w:hAnsi="Times New Roman"/>
          <w:sz w:val="24"/>
          <w:szCs w:val="24"/>
          <w:lang w:val="en-US"/>
        </w:rPr>
      </w:pPr>
      <w:r>
        <w:rPr>
          <w:rFonts w:ascii="Times New Roman" w:hAnsi="Times New Roman"/>
          <w:sz w:val="24"/>
          <w:szCs w:val="24"/>
          <w:lang w:val="en-US"/>
        </w:rPr>
        <w:t xml:space="preserve">Brazauskas, V. (2002), Fisher information matrix for the Feller-Pareto distribution, </w:t>
      </w:r>
      <w:r>
        <w:rPr>
          <w:rFonts w:ascii="Times New Roman" w:hAnsi="Times New Roman"/>
          <w:i/>
          <w:iCs/>
          <w:sz w:val="24"/>
          <w:szCs w:val="24"/>
          <w:lang w:val="en-US"/>
        </w:rPr>
        <w:t xml:space="preserve">Statistics &amp; Probability Letters</w:t>
      </w:r>
      <w:r>
        <w:rPr>
          <w:rFonts w:ascii="Times New Roman" w:hAnsi="Times New Roman"/>
          <w:sz w:val="24"/>
          <w:szCs w:val="24"/>
          <w:lang w:val="en-US"/>
        </w:rPr>
        <w:t xml:space="preserve">, 59, 159-167, https://doi.org/</w:t>
      </w:r>
      <w:hyperlink r:id="rId5" w:history="1">
        <w:r>
          <w:rPr>
            <w:rStyle w:val="Hyperlink"/>
            <w:rFonts w:ascii="Times New Roman" w:hAnsi="Times New Roman"/>
            <w:color w:val="auto"/>
            <w:sz w:val="24"/>
            <w:szCs w:val="24"/>
            <w:u w:val="none"/>
          </w:rPr>
          <w:t xml:space="preserve">10.1016/S0167-7152(02)00143-8</w:t>
        </w:r>
      </w:hyperlink>
    </w:p>
    <w:p>
      <w:pPr>
        <w:spacing w:after="120" w:line="360" w:lineRule="auto"/>
        <w:rPr>
          <w:rFonts w:ascii="Times New Roman" w:hAnsi="Times New Roman"/>
          <w:sz w:val="24"/>
          <w:szCs w:val="24"/>
          <w:lang w:val="en-US"/>
        </w:rPr>
      </w:pPr>
      <w:r>
        <w:rPr>
          <w:rFonts w:ascii="Times New Roman" w:hAnsi="Times New Roman"/>
          <w:sz w:val="24"/>
          <w:szCs w:val="24"/>
          <w:lang w:val="en-US"/>
        </w:rPr>
        <w:t xml:space="preserve">Burr, I.W. (1942), Cumulative frequency functions, </w:t>
      </w:r>
      <w:r>
        <w:rPr>
          <w:rFonts w:ascii="Times New Roman" w:hAnsi="Times New Roman"/>
          <w:i/>
          <w:iCs/>
          <w:sz w:val="24"/>
          <w:szCs w:val="24"/>
          <w:lang w:val="en-US"/>
        </w:rPr>
        <w:t xml:space="preserve">Annals of Mathematical Statistics, 13</w:t>
      </w:r>
      <w:r>
        <w:rPr>
          <w:rFonts w:ascii="Times New Roman" w:hAnsi="Times New Roman"/>
          <w:sz w:val="24"/>
          <w:szCs w:val="24"/>
          <w:lang w:val="en-US"/>
        </w:rPr>
        <w:t xml:space="preserve">, 215-232</w:t>
      </w:r>
    </w:p>
    <w:p>
      <w:pPr>
        <w:spacing w:after="120" w:line="360" w:lineRule="auto"/>
        <w:rPr>
          <w:rFonts w:ascii="Times New Roman" w:hAnsi="Times New Roman"/>
          <w:sz w:val="24"/>
          <w:szCs w:val="24"/>
          <w:shd w:val="clear" w:color="auto" w:fill="FFFFFF"/>
          <w:lang w:val="en-US"/>
        </w:rPr>
      </w:pPr>
      <w:r>
        <w:rPr>
          <w:rFonts w:ascii="Times New Roman" w:hAnsi="Times New Roman"/>
          <w:sz w:val="24"/>
          <w:szCs w:val="24"/>
          <w:lang w:val="en-US"/>
        </w:rPr>
        <w:t xml:space="preserve">Cabral, L.M.B., Mata, J. (2003), On the evolution of the firm size distribution: facts and theory, </w:t>
      </w:r>
      <w:r>
        <w:rPr>
          <w:rFonts w:ascii="Times New Roman" w:hAnsi="Times New Roman"/>
          <w:i/>
          <w:iCs/>
          <w:sz w:val="24"/>
          <w:szCs w:val="24"/>
          <w:lang w:val="en-US"/>
        </w:rPr>
        <w:t xml:space="preserve">American Economic Review</w:t>
      </w:r>
      <w:r>
        <w:rPr>
          <w:rFonts w:ascii="Times New Roman" w:hAnsi="Times New Roman"/>
          <w:sz w:val="24"/>
          <w:szCs w:val="24"/>
          <w:lang w:val="en-US"/>
        </w:rPr>
        <w:t xml:space="preserve">, 93, 1075-1090, https://doi.org/</w:t>
      </w:r>
      <w:r>
        <w:rPr>
          <w:rFonts w:ascii="Times New Roman" w:hAnsi="Times New Roman"/>
          <w:sz w:val="24"/>
          <w:szCs w:val="24"/>
        </w:rPr>
        <w:t xml:space="preserve">10.1257/000282803769206205</w:t>
      </w:r>
    </w:p>
    <w:p>
      <w:pPr>
        <w:shd w:val="clear" w:color="auto" w:fill="FFFFFF"/>
        <w:spacing w:after="120" w:line="360" w:lineRule="auto"/>
        <w:rPr>
          <w:rFonts w:ascii="Times New Roman" w:hAnsi="Times New Roman"/>
          <w:sz w:val="24"/>
          <w:szCs w:val="24"/>
          <w:lang w:val="en-US"/>
        </w:rPr>
      </w:pPr>
      <w:r>
        <w:rPr>
          <w:rFonts w:ascii="Times New Roman" w:hAnsi="Times New Roman"/>
          <w:sz w:val="24"/>
          <w:szCs w:val="24"/>
          <w:lang w:val="en-US"/>
        </w:rPr>
        <w:t xml:space="preserve">Coad, A. (2009), </w:t>
      </w:r>
      <w:r>
        <w:rPr>
          <w:rFonts w:ascii="Times New Roman" w:hAnsi="Times New Roman"/>
          <w:i/>
          <w:iCs/>
          <w:sz w:val="24"/>
          <w:szCs w:val="24"/>
          <w:lang w:val="en-US"/>
        </w:rPr>
        <w:t xml:space="preserve">The growth of firms: a survey of theories and empirical evidence</w:t>
      </w:r>
      <w:r>
        <w:rPr>
          <w:rFonts w:ascii="Times New Roman" w:hAnsi="Times New Roman"/>
          <w:sz w:val="24"/>
          <w:szCs w:val="24"/>
          <w:lang w:val="en-US"/>
        </w:rPr>
        <w:t xml:space="preserve">, Cheltenham: Edward Elgar Publishing </w:t>
      </w:r>
    </w:p>
    <w:p>
      <w:pPr>
        <w:spacing w:after="120" w:line="360" w:lineRule="auto"/>
        <w:rPr>
          <w:rFonts w:ascii="Times New Roman" w:hAnsi="Times New Roman"/>
          <w:color w:val="131313"/>
          <w:sz w:val="24"/>
          <w:szCs w:val="24"/>
        </w:rPr>
      </w:pPr>
      <w:r>
        <w:rPr>
          <w:rFonts w:ascii="Times New Roman" w:hAnsi="Times New Roman"/>
          <w:bCs/>
          <w:sz w:val="24"/>
          <w:szCs w:val="24"/>
          <w:lang w:val="en-US"/>
        </w:rPr>
        <w:t xml:space="preserve">Coad, A. (2010), </w:t>
      </w:r>
      <w:r>
        <w:rPr>
          <w:rFonts w:ascii="Times New Roman" w:hAnsi="Times New Roman"/>
          <w:bCs/>
          <w:color w:val="131313"/>
          <w:sz w:val="24"/>
          <w:szCs w:val="24"/>
        </w:rPr>
        <w:t xml:space="preserve">The exponential age distribution and the Pareto firm size distribution, </w:t>
      </w:r>
      <w:r>
        <w:rPr>
          <w:rStyle w:val="nfase"/>
          <w:rFonts w:ascii="Times New Roman" w:hAnsi="Times New Roman"/>
          <w:sz w:val="24"/>
          <w:szCs w:val="24"/>
          <w:shd w:val="clear" w:color="auto" w:fill="FFFFFF"/>
        </w:rPr>
        <w:t xml:space="preserve">Journal of Industry, Competition and Trade</w:t>
      </w:r>
      <w:r>
        <w:rPr>
          <w:rStyle w:val="nfase"/>
          <w:rFonts w:ascii="Times New Roman" w:hAnsi="Times New Roman"/>
          <w:i w:val="0"/>
          <w:iCs w:val="0"/>
          <w:sz w:val="24"/>
          <w:szCs w:val="24"/>
          <w:shd w:val="clear" w:color="auto" w:fill="FFFFFF"/>
        </w:rPr>
        <w:t xml:space="preserve">, 10, 389-395, </w:t>
      </w:r>
      <w:r>
        <w:rPr>
          <w:rFonts w:ascii="Times New Roman" w:hAnsi="Times New Roman"/>
          <w:sz w:val="24"/>
          <w:szCs w:val="24"/>
          <w:shd w:val="clear" w:color="auto" w:fill="FFFFFF"/>
        </w:rPr>
        <w:t xml:space="preserve">https://doi.org/10.1007/s10842-010-0071-4</w:t>
      </w:r>
      <w:r>
        <w:rPr>
          <w:rStyle w:val="nfase"/>
          <w:rFonts w:ascii="Times New Roman" w:hAnsi="Times New Roman"/>
          <w:i w:val="0"/>
          <w:iCs w:val="0"/>
          <w:sz w:val="24"/>
          <w:szCs w:val="24"/>
          <w:shd w:val="clear" w:color="auto" w:fill="FFFFFF"/>
        </w:rPr>
        <w:t xml:space="preserve"> </w:t>
      </w:r>
    </w:p>
    <w:p>
      <w:pPr>
        <w:shd w:val="clear" w:color="auto" w:fill="FFFFFF"/>
        <w:spacing w:after="120" w:line="360" w:lineRule="auto"/>
        <w:rPr>
          <w:rFonts w:ascii="Times New Roman" w:hAnsi="Times New Roman"/>
          <w:sz w:val="24"/>
          <w:szCs w:val="24"/>
        </w:rPr>
      </w:pPr>
      <w:r>
        <w:rPr>
          <w:rFonts w:ascii="Times New Roman" w:hAnsi="Times New Roman"/>
          <w:sz w:val="24"/>
          <w:szCs w:val="24"/>
          <w:lang w:val="en-US"/>
        </w:rPr>
        <w:t xml:space="preserve">Da Silva, S., Matsushita, R., Giglio, R., Massena, G. (2018), Granularity of the top 1,000 Brazilian companies, </w:t>
      </w:r>
      <w:r>
        <w:rPr>
          <w:rFonts w:ascii="Times New Roman" w:hAnsi="Times New Roman"/>
          <w:i/>
          <w:iCs/>
          <w:sz w:val="24"/>
          <w:szCs w:val="24"/>
          <w:lang w:val="en-US"/>
        </w:rPr>
        <w:t xml:space="preserve">Physica A</w:t>
      </w:r>
      <w:r>
        <w:rPr>
          <w:rFonts w:ascii="Times New Roman" w:hAnsi="Times New Roman"/>
          <w:sz w:val="24"/>
          <w:szCs w:val="24"/>
          <w:lang w:val="en-US"/>
        </w:rPr>
        <w:t xml:space="preserve">, 512, 68-73, </w:t>
      </w:r>
      <w:hyperlink r:id="rId6" w:history="1">
        <w:r>
          <w:rPr>
            <w:rStyle w:val="Hyperlink"/>
            <w:rFonts w:ascii="Times New Roman" w:hAnsi="Times New Roman"/>
            <w:color w:val="auto"/>
            <w:sz w:val="24"/>
            <w:szCs w:val="24"/>
            <w:u w:val="none"/>
          </w:rPr>
          <w:t xml:space="preserve">https://doi.org/10.1016/j.physa.2018.08.027</w:t>
        </w:r>
      </w:hyperlink>
    </w:p>
    <w:p>
      <w:pPr>
        <w:shd w:val="clear" w:color="auto" w:fill="FFFFFF"/>
        <w:spacing w:after="120" w:line="360" w:lineRule="auto"/>
        <w:rPr>
          <w:rFonts w:ascii="Times New Roman" w:hAnsi="Times New Roman"/>
          <w:sz w:val="24"/>
          <w:szCs w:val="24"/>
          <w:lang w:val="en-US"/>
        </w:rPr>
      </w:pPr>
      <w:r>
        <w:rPr>
          <w:rFonts w:ascii="Times New Roman" w:hAnsi="Times New Roman"/>
          <w:sz w:val="24"/>
          <w:szCs w:val="24"/>
          <w:lang w:val="en-US"/>
        </w:rPr>
        <w:t xml:space="preserve">Devereux, M. P., Griffith, R., Simpson, H. (2004), The geographic distribution of production activity in the UK, </w:t>
      </w:r>
      <w:r>
        <w:rPr>
          <w:rFonts w:ascii="Times New Roman" w:hAnsi="Times New Roman"/>
          <w:i/>
          <w:iCs/>
          <w:sz w:val="24"/>
          <w:szCs w:val="24"/>
          <w:lang w:val="en-US"/>
        </w:rPr>
        <w:t xml:space="preserve">Regional Science and Urban Economics</w:t>
      </w:r>
      <w:r>
        <w:rPr>
          <w:rFonts w:ascii="Times New Roman" w:hAnsi="Times New Roman"/>
          <w:sz w:val="24"/>
          <w:szCs w:val="24"/>
          <w:lang w:val="en-US"/>
        </w:rPr>
        <w:t xml:space="preserve">, 34, 533-564, https://doi.org/</w:t>
      </w:r>
      <w:hyperlink r:id="rId7" w:history="1">
        <w:r>
          <w:rPr>
            <w:rStyle w:val="Hyperlink"/>
            <w:rFonts w:ascii="Times New Roman" w:hAnsi="Times New Roman"/>
            <w:color w:val="auto"/>
            <w:sz w:val="24"/>
            <w:szCs w:val="24"/>
            <w:u w:val="none"/>
          </w:rPr>
          <w:t xml:space="preserve">10.1016/S0166-0462(03)00073-5</w:t>
        </w:r>
      </w:hyperlink>
    </w:p>
    <w:p>
      <w:pPr>
        <w:shd w:val="clear" w:color="auto" w:fill="FFFFFF"/>
        <w:spacing w:after="120" w:line="360" w:lineRule="auto"/>
        <w:rPr>
          <w:rFonts w:ascii="Times New Roman" w:hAnsi="Times New Roman"/>
          <w:sz w:val="24"/>
          <w:szCs w:val="24"/>
        </w:rPr>
      </w:pPr>
      <w:r>
        <w:rPr>
          <w:rFonts w:ascii="Times New Roman" w:hAnsi="Times New Roman"/>
          <w:sz w:val="24"/>
          <w:szCs w:val="24"/>
        </w:rPr>
        <w:t xml:space="preserve">Ellison, G., Glaeser, E. L. (1997), Geographic concentration in U.S. manufacturing industries: a dartboard approach, </w:t>
      </w:r>
      <w:r>
        <w:rPr>
          <w:rFonts w:ascii="Times New Roman" w:hAnsi="Times New Roman"/>
          <w:i/>
          <w:iCs/>
          <w:sz w:val="24"/>
          <w:szCs w:val="24"/>
        </w:rPr>
        <w:t xml:space="preserve">Journal of Political Economy</w:t>
      </w:r>
      <w:r>
        <w:rPr>
          <w:rFonts w:ascii="Times New Roman" w:hAnsi="Times New Roman"/>
          <w:sz w:val="24"/>
          <w:szCs w:val="24"/>
        </w:rPr>
        <w:t xml:space="preserve">, 105, 889-927,  </w:t>
      </w:r>
      <w:hyperlink r:id="rId8" w:history="1">
        <w:r>
          <w:rPr>
            <w:rStyle w:val="Hyperlink"/>
            <w:rFonts w:ascii="Times New Roman" w:hAnsi="Times New Roman"/>
            <w:color w:val="auto"/>
            <w:sz w:val="24"/>
            <w:szCs w:val="24"/>
            <w:u w:val="none"/>
          </w:rPr>
          <w:t xml:space="preserve">https://doi.org/10.1086/262098</w:t>
        </w:r>
      </w:hyperlink>
    </w:p>
    <w:p>
      <w:pPr>
        <w:shd w:val="clear" w:color="auto" w:fill="FFFFFF"/>
        <w:spacing w:after="120" w:line="360" w:lineRule="auto"/>
        <w:rPr>
          <w:rFonts w:ascii="Times New Roman" w:hAnsi="Times New Roman"/>
          <w:sz w:val="24"/>
          <w:szCs w:val="24"/>
        </w:rPr>
      </w:pPr>
      <w:r>
        <w:rPr>
          <w:rFonts w:ascii="Times New Roman" w:hAnsi="Times New Roman"/>
          <w:sz w:val="24"/>
          <w:szCs w:val="24"/>
        </w:rPr>
        <w:t xml:space="preserve">Ellison, G., Glaeser, E. L. (1999), The geographic concentration of industry: does natural advantage explain agglomeration?, </w:t>
      </w:r>
      <w:r>
        <w:rPr>
          <w:rFonts w:ascii="Times New Roman" w:hAnsi="Times New Roman"/>
          <w:i/>
          <w:iCs/>
          <w:sz w:val="24"/>
          <w:szCs w:val="24"/>
        </w:rPr>
        <w:t xml:space="preserve">American Economic Review Papers and Proceedings</w:t>
      </w:r>
      <w:r>
        <w:rPr>
          <w:rFonts w:ascii="Times New Roman" w:hAnsi="Times New Roman"/>
          <w:sz w:val="24"/>
          <w:szCs w:val="24"/>
        </w:rPr>
        <w:t xml:space="preserve">, 89, 311-316, https://doi.org/10.1257/aer.89.2.311</w:t>
      </w:r>
    </w:p>
    <w:p>
      <w:pPr>
        <w:shd w:val="clear" w:color="auto" w:fill="FFFFFF"/>
        <w:spacing w:after="120" w:line="360" w:lineRule="auto"/>
        <w:rPr>
          <w:rFonts w:ascii="Times New Roman" w:hAnsi="Times New Roman"/>
          <w:sz w:val="24"/>
          <w:szCs w:val="24"/>
          <w:lang w:val="en-US"/>
        </w:rPr>
      </w:pPr>
      <w:r>
        <w:rPr>
          <w:rFonts w:ascii="Times New Roman" w:hAnsi="Times New Roman"/>
          <w:sz w:val="24"/>
          <w:szCs w:val="24"/>
        </w:rPr>
        <w:t xml:space="preserve">Ellison, G., Glaeser, E. L., Kerr, W. R. (2010), What causes industry agglomeration? Evidence from coagglomeration patterns, </w:t>
      </w:r>
      <w:r>
        <w:rPr>
          <w:rFonts w:ascii="Times New Roman" w:hAnsi="Times New Roman"/>
          <w:i/>
          <w:iCs/>
          <w:sz w:val="24"/>
          <w:szCs w:val="24"/>
        </w:rPr>
        <w:t xml:space="preserve">American Economic Review</w:t>
      </w:r>
      <w:r>
        <w:rPr>
          <w:rFonts w:ascii="Times New Roman" w:hAnsi="Times New Roman"/>
          <w:sz w:val="24"/>
          <w:szCs w:val="24"/>
        </w:rPr>
        <w:t xml:space="preserve">, 100, 1195-1213, https://doi.org/10.1257/aer.100.3.1195</w:t>
      </w:r>
    </w:p>
    <w:p>
      <w:pPr>
        <w:shd w:val="clear" w:color="auto" w:fill="FFFFFF"/>
        <w:spacing w:after="120" w:line="360" w:lineRule="auto"/>
        <w:rPr>
          <w:rFonts w:ascii="Times New Roman" w:hAnsi="Times New Roman"/>
          <w:sz w:val="24"/>
          <w:szCs w:val="24"/>
          <w:lang w:val="en"/>
        </w:rPr>
      </w:pPr>
      <w:r>
        <w:rPr>
          <w:rFonts w:ascii="Times New Roman" w:hAnsi="Times New Roman"/>
          <w:sz w:val="24"/>
          <w:szCs w:val="24"/>
          <w:lang w:val="en"/>
        </w:rPr>
        <w:t xml:space="preserve">Esteves, L.A. (2007), A note on Gibrat’s law, Gibrat’s legacy and firm growth: evidence from Brazilian companies, </w:t>
      </w:r>
      <w:r>
        <w:rPr>
          <w:rFonts w:ascii="Times New Roman" w:hAnsi="Times New Roman"/>
          <w:i/>
          <w:iCs/>
          <w:sz w:val="24"/>
          <w:szCs w:val="24"/>
          <w:lang w:val="en"/>
        </w:rPr>
        <w:t xml:space="preserve">Economics Bulletin</w:t>
      </w:r>
      <w:r>
        <w:rPr>
          <w:rFonts w:ascii="Times New Roman" w:hAnsi="Times New Roman"/>
          <w:sz w:val="24"/>
          <w:szCs w:val="24"/>
          <w:lang w:val="en"/>
        </w:rPr>
        <w:t xml:space="preserve">, 12, 1-7</w:t>
      </w:r>
    </w:p>
    <w:p>
      <w:pPr>
        <w:shd w:val="clear" w:color="auto" w:fill="FFFFFF"/>
        <w:spacing w:after="120" w:line="360" w:lineRule="auto"/>
        <w:rPr>
          <w:rFonts w:ascii="Times New Roman" w:hAnsi="Times New Roman"/>
          <w:sz w:val="24"/>
          <w:szCs w:val="24"/>
        </w:rPr>
      </w:pPr>
      <w:r>
        <w:rPr>
          <w:rFonts w:ascii="Times New Roman" w:hAnsi="Times New Roman"/>
          <w:sz w:val="24"/>
          <w:szCs w:val="24"/>
          <w:lang w:val="en-US"/>
        </w:rPr>
        <w:t xml:space="preserve">Fernholz, R.T. (2017), Nonparametric methods and local-time-based estimation for dynamic power law distributions, </w:t>
      </w:r>
      <w:r>
        <w:rPr>
          <w:rFonts w:ascii="Times New Roman" w:hAnsi="Times New Roman"/>
          <w:i/>
          <w:sz w:val="24"/>
          <w:szCs w:val="24"/>
          <w:lang w:val="en-US"/>
        </w:rPr>
        <w:t xml:space="preserve">Journal of Applied Econometrics,</w:t>
      </w:r>
      <w:r>
        <w:rPr>
          <w:rFonts w:ascii="Times New Roman" w:hAnsi="Times New Roman"/>
          <w:sz w:val="24"/>
          <w:szCs w:val="24"/>
          <w:lang w:val="en-US"/>
        </w:rPr>
        <w:t xml:space="preserve"> 32, 1244-1260, </w:t>
      </w:r>
      <w:r>
        <w:rPr>
          <w:rFonts w:ascii="Times New Roman" w:hAnsi="Times New Roman"/>
          <w:sz w:val="24"/>
          <w:szCs w:val="24"/>
        </w:rPr>
        <w:t xml:space="preserve"> </w:t>
      </w:r>
      <w:hyperlink r:id="rId9" w:history="1">
        <w:r>
          <w:rPr>
            <w:rStyle w:val="Hyperlink"/>
            <w:rFonts w:ascii="Times New Roman" w:hAnsi="Times New Roman"/>
            <w:color w:val="auto"/>
            <w:sz w:val="24"/>
            <w:szCs w:val="24"/>
            <w:u w:val="none"/>
          </w:rPr>
          <w:t xml:space="preserve">https://doi.org/10.1002/jae.2573</w:t>
        </w:r>
      </w:hyperlink>
    </w:p>
    <w:p>
      <w:pPr>
        <w:shd w:val="clear" w:color="auto" w:fill="FFFFFF"/>
        <w:spacing w:after="120" w:line="360" w:lineRule="auto"/>
        <w:rPr>
          <w:rFonts w:ascii="Times New Roman" w:hAnsi="Times New Roman"/>
          <w:sz w:val="24"/>
          <w:szCs w:val="24"/>
          <w:lang w:val="en-US"/>
        </w:rPr>
      </w:pPr>
      <w:r>
        <w:rPr>
          <w:rFonts w:ascii="Times New Roman" w:hAnsi="Times New Roman"/>
          <w:sz w:val="24"/>
          <w:szCs w:val="24"/>
          <w:lang w:val="en-US"/>
        </w:rPr>
        <w:t xml:space="preserve">Gabaix, X. (1999), Zipf’s law for cities: an explanation, </w:t>
      </w:r>
      <w:r>
        <w:rPr>
          <w:rFonts w:ascii="Times New Roman" w:hAnsi="Times New Roman"/>
          <w:i/>
          <w:iCs/>
          <w:sz w:val="24"/>
          <w:szCs w:val="24"/>
          <w:lang w:val="en-US"/>
        </w:rPr>
        <w:t xml:space="preserve">Quarterly Journal of Economics</w:t>
      </w:r>
      <w:r>
        <w:rPr>
          <w:rFonts w:ascii="Times New Roman" w:hAnsi="Times New Roman"/>
          <w:sz w:val="24"/>
          <w:szCs w:val="24"/>
          <w:lang w:val="en-US"/>
        </w:rPr>
        <w:t xml:space="preserve">, 114, 739-767, </w:t>
      </w:r>
      <w:hyperlink r:id="rId10" w:history="1">
        <w:r>
          <w:rPr>
            <w:rStyle w:val="Hyperlink"/>
            <w:rFonts w:ascii="Times New Roman" w:hAnsi="Times New Roman"/>
            <w:color w:val="auto"/>
            <w:sz w:val="24"/>
            <w:szCs w:val="24"/>
            <w:u w:val="none"/>
          </w:rPr>
          <w:t xml:space="preserve">https://doi.org/10.1162/003355399556133</w:t>
        </w:r>
      </w:hyperlink>
    </w:p>
    <w:p>
      <w:pPr>
        <w:shd w:val="clear" w:color="auto" w:fill="FFFFFF"/>
        <w:spacing w:after="120" w:line="360" w:lineRule="auto"/>
        <w:rPr>
          <w:rFonts w:ascii="Times New Roman" w:hAnsi="Times New Roman"/>
          <w:sz w:val="24"/>
          <w:szCs w:val="24"/>
          <w:lang w:val="en-US"/>
        </w:rPr>
      </w:pPr>
      <w:r>
        <w:rPr>
          <w:rFonts w:ascii="Times New Roman" w:hAnsi="Times New Roman"/>
          <w:sz w:val="24"/>
          <w:szCs w:val="24"/>
          <w:lang w:val="en-US"/>
        </w:rPr>
        <w:t xml:space="preserve">Gabaix, X. (2009), Power laws in economics and finance, </w:t>
      </w:r>
      <w:r>
        <w:rPr>
          <w:rFonts w:ascii="Times New Roman" w:hAnsi="Times New Roman"/>
          <w:i/>
          <w:iCs/>
          <w:sz w:val="24"/>
          <w:szCs w:val="24"/>
          <w:lang w:val="en-US"/>
        </w:rPr>
        <w:t xml:space="preserve">Annual Review of Economics</w:t>
      </w:r>
      <w:r>
        <w:rPr>
          <w:rFonts w:ascii="Times New Roman" w:hAnsi="Times New Roman"/>
          <w:sz w:val="24"/>
          <w:szCs w:val="24"/>
          <w:lang w:val="en-US"/>
        </w:rPr>
        <w:t xml:space="preserve">, 1, 255-293, </w:t>
      </w:r>
      <w:hyperlink r:id="rId11" w:history="1">
        <w:r>
          <w:rPr>
            <w:rStyle w:val="Hyperlink"/>
            <w:rFonts w:ascii="Times New Roman" w:hAnsi="Times New Roman"/>
            <w:color w:val="auto"/>
            <w:sz w:val="24"/>
            <w:szCs w:val="24"/>
            <w:u w:val="none"/>
          </w:rPr>
          <w:t xml:space="preserve">https://doi.org/10.1146/annurev.economics.050708.142940</w:t>
        </w:r>
      </w:hyperlink>
    </w:p>
    <w:p>
      <w:pPr>
        <w:shd w:val="clear" w:color="auto" w:fill="FFFFFF"/>
        <w:spacing w:after="120" w:line="360" w:lineRule="auto"/>
        <w:rPr>
          <w:rFonts w:ascii="Times New Roman" w:hAnsi="Times New Roman"/>
          <w:sz w:val="24"/>
          <w:szCs w:val="24"/>
        </w:rPr>
      </w:pPr>
      <w:r>
        <w:rPr>
          <w:rFonts w:ascii="Times New Roman" w:hAnsi="Times New Roman"/>
          <w:sz w:val="24"/>
          <w:szCs w:val="24"/>
          <w:lang w:val="en-US"/>
        </w:rPr>
        <w:t xml:space="preserve">Gabaix, X. (2011), The granular origins of aggregate fluctuations, </w:t>
      </w:r>
      <w:r>
        <w:rPr>
          <w:rFonts w:ascii="Times New Roman" w:hAnsi="Times New Roman"/>
          <w:i/>
          <w:iCs/>
          <w:sz w:val="24"/>
          <w:szCs w:val="24"/>
          <w:lang w:val="en-US"/>
        </w:rPr>
        <w:t xml:space="preserve">Econometrica,</w:t>
      </w:r>
      <w:r>
        <w:rPr>
          <w:rFonts w:ascii="Times New Roman" w:hAnsi="Times New Roman"/>
          <w:sz w:val="24"/>
          <w:szCs w:val="24"/>
          <w:lang w:val="en-US"/>
        </w:rPr>
        <w:t xml:space="preserve"> 79, 723-772, </w:t>
      </w:r>
      <w:r>
        <w:rPr>
          <w:rFonts w:ascii="Times New Roman" w:hAnsi="Times New Roman"/>
          <w:sz w:val="24"/>
          <w:szCs w:val="24"/>
        </w:rPr>
        <w:t xml:space="preserve"> </w:t>
      </w:r>
      <w:hyperlink r:id="rId12" w:history="1">
        <w:r>
          <w:rPr>
            <w:rStyle w:val="Hyperlink"/>
            <w:rFonts w:ascii="Times New Roman" w:hAnsi="Times New Roman"/>
            <w:color w:val="auto"/>
            <w:sz w:val="24"/>
            <w:szCs w:val="24"/>
            <w:u w:val="none"/>
          </w:rPr>
          <w:t xml:space="preserve">https://doi.org/10.3982/ECTA8769</w:t>
        </w:r>
      </w:hyperlink>
    </w:p>
    <w:p>
      <w:pPr>
        <w:shd w:val="clear" w:color="auto" w:fill="FFFFFF"/>
        <w:spacing w:after="120" w:line="360" w:lineRule="auto"/>
        <w:rPr>
          <w:rFonts w:ascii="Times New Roman" w:hAnsi="Times New Roman"/>
          <w:sz w:val="24"/>
          <w:szCs w:val="24"/>
          <w:lang w:val="en-US"/>
        </w:rPr>
      </w:pPr>
      <w:r>
        <w:rPr>
          <w:rFonts w:ascii="Times New Roman" w:hAnsi="Times New Roman"/>
          <w:sz w:val="24"/>
          <w:szCs w:val="24"/>
          <w:lang w:val="en-US"/>
        </w:rPr>
        <w:t xml:space="preserve">Gabaix, X. (2016), Power laws in economics: an introduction, </w:t>
      </w:r>
      <w:r>
        <w:rPr>
          <w:rFonts w:ascii="Times New Roman" w:hAnsi="Times New Roman"/>
          <w:i/>
          <w:iCs/>
          <w:sz w:val="24"/>
          <w:szCs w:val="24"/>
          <w:lang w:val="en-US"/>
        </w:rPr>
        <w:t xml:space="preserve">Journal of Economic Perspectives</w:t>
      </w:r>
      <w:r>
        <w:rPr>
          <w:rFonts w:ascii="Times New Roman" w:hAnsi="Times New Roman"/>
          <w:sz w:val="24"/>
          <w:szCs w:val="24"/>
          <w:lang w:val="en-US"/>
        </w:rPr>
        <w:t xml:space="preserve">, 30, 185-206, https://doi.org/</w:t>
      </w:r>
      <w:r>
        <w:rPr>
          <w:rFonts w:ascii="Times New Roman" w:hAnsi="Times New Roman"/>
          <w:sz w:val="24"/>
          <w:szCs w:val="24"/>
        </w:rPr>
        <w:t xml:space="preserve">10.1257/jep.30.1.185</w:t>
      </w:r>
    </w:p>
    <w:p>
      <w:pPr>
        <w:shd w:val="clear" w:color="auto" w:fill="FFFFFF"/>
        <w:spacing w:after="120" w:line="360" w:lineRule="auto"/>
        <w:ind w:right="-177"/>
        <w:rPr>
          <w:rFonts w:ascii="Times New Roman" w:hAnsi="Times New Roman"/>
          <w:sz w:val="24"/>
          <w:szCs w:val="24"/>
        </w:rPr>
      </w:pPr>
      <w:r>
        <w:rPr>
          <w:rFonts w:ascii="Times New Roman" w:hAnsi="Times New Roman"/>
          <w:sz w:val="24"/>
          <w:szCs w:val="24"/>
          <w:lang w:val="en-US"/>
        </w:rPr>
        <w:t xml:space="preserve">Gabaix, X., </w:t>
      </w:r>
      <w:hyperlink r:id="rId13" w:history="1">
        <w:r>
          <w:rPr>
            <w:rStyle w:val="Hyperlink"/>
            <w:rFonts w:ascii="Times New Roman" w:hAnsi="Times New Roman"/>
            <w:color w:val="auto"/>
            <w:sz w:val="24"/>
            <w:szCs w:val="24"/>
            <w:u w:val="none"/>
            <w:lang w:val="en-US"/>
          </w:rPr>
          <w:t xml:space="preserve">Ibragimov</w:t>
        </w:r>
      </w:hyperlink>
      <w:r>
        <w:rPr>
          <w:rFonts w:ascii="Times New Roman" w:hAnsi="Times New Roman"/>
          <w:sz w:val="24"/>
          <w:szCs w:val="24"/>
          <w:lang w:val="en-US"/>
        </w:rPr>
        <w:t xml:space="preserve">, R. (2011), Rank − 1/2: a simple way to improve the OLS estimation of tail exponents, </w:t>
      </w:r>
      <w:r>
        <w:rPr>
          <w:rFonts w:ascii="Times New Roman" w:hAnsi="Times New Roman"/>
          <w:i/>
          <w:iCs/>
          <w:sz w:val="24"/>
          <w:szCs w:val="24"/>
          <w:lang w:val="en-US"/>
        </w:rPr>
        <w:t xml:space="preserve">Journal of Business &amp; Economic Statistics</w:t>
      </w:r>
      <w:r>
        <w:rPr>
          <w:rFonts w:ascii="Times New Roman" w:hAnsi="Times New Roman"/>
          <w:sz w:val="24"/>
          <w:szCs w:val="24"/>
          <w:lang w:val="en-US"/>
        </w:rPr>
        <w:t xml:space="preserve">, 29, 24-39, </w:t>
      </w:r>
      <w:hyperlink r:id="rId14" w:history="1">
        <w:r>
          <w:rPr>
            <w:rStyle w:val="Hyperlink"/>
            <w:rFonts w:ascii="Times New Roman" w:hAnsi="Times New Roman"/>
            <w:color w:val="auto"/>
            <w:sz w:val="24"/>
            <w:szCs w:val="24"/>
            <w:u w:val="none"/>
          </w:rPr>
          <w:t xml:space="preserve">https://doi.org/10.1198/jbes.2009.06157</w:t>
        </w:r>
      </w:hyperlink>
    </w:p>
    <w:p>
      <w:pPr>
        <w:shd w:val="clear" w:color="auto" w:fill="FFFFFF"/>
        <w:spacing w:after="120" w:line="360" w:lineRule="auto"/>
        <w:rPr>
          <w:rFonts w:ascii="Times New Roman" w:hAnsi="Times New Roman"/>
          <w:sz w:val="24"/>
          <w:szCs w:val="24"/>
        </w:rPr>
      </w:pPr>
      <w:r>
        <w:rPr>
          <w:rFonts w:ascii="Times New Roman" w:hAnsi="Times New Roman"/>
          <w:sz w:val="24"/>
          <w:szCs w:val="24"/>
          <w:lang w:val="en-US"/>
        </w:rPr>
        <w:t xml:space="preserve">Goerlich, F.J. (2013), A simple and efficient test for the Pareto law, </w:t>
      </w:r>
      <w:r>
        <w:rPr>
          <w:rFonts w:ascii="Times New Roman" w:hAnsi="Times New Roman"/>
          <w:i/>
          <w:iCs/>
          <w:sz w:val="24"/>
          <w:szCs w:val="24"/>
          <w:lang w:val="en-US"/>
        </w:rPr>
        <w:t xml:space="preserve">Empirical Economics</w:t>
      </w:r>
      <w:r>
        <w:rPr>
          <w:rFonts w:ascii="Times New Roman" w:hAnsi="Times New Roman"/>
          <w:sz w:val="24"/>
          <w:szCs w:val="24"/>
          <w:lang w:val="en-US"/>
        </w:rPr>
        <w:t xml:space="preserve">, 45, 1367-1381, </w:t>
      </w:r>
      <w:hyperlink r:id="rId15" w:history="1">
        <w:r>
          <w:rPr>
            <w:rStyle w:val="Hyperlink"/>
            <w:rFonts w:ascii="Times New Roman" w:hAnsi="Times New Roman"/>
            <w:color w:val="auto"/>
            <w:sz w:val="24"/>
            <w:szCs w:val="24"/>
            <w:u w:val="none"/>
          </w:rPr>
          <w:t xml:space="preserve">https://doi.org/10.1007/s00181-012-0654-5</w:t>
        </w:r>
      </w:hyperlink>
    </w:p>
    <w:p>
      <w:pPr>
        <w:shd w:val="clear" w:color="auto" w:fill="FFFFFF"/>
        <w:spacing w:after="120" w:line="360" w:lineRule="auto"/>
        <w:rPr>
          <w:rFonts w:ascii="Times New Roman" w:hAnsi="Times New Roman"/>
          <w:sz w:val="24"/>
          <w:szCs w:val="24"/>
          <w:lang w:val="en-US"/>
        </w:rPr>
      </w:pPr>
      <w:r>
        <w:rPr>
          <w:rFonts w:ascii="Times New Roman" w:hAnsi="Times New Roman"/>
          <w:sz w:val="24"/>
          <w:szCs w:val="24"/>
        </w:rPr>
        <w:t xml:space="preserve">Hill, B. M. (1975), A simple general approach to inference about the tail of a distribution, </w:t>
      </w:r>
      <w:r>
        <w:rPr>
          <w:rFonts w:ascii="Times New Roman" w:hAnsi="Times New Roman"/>
          <w:i/>
          <w:iCs/>
          <w:sz w:val="24"/>
          <w:szCs w:val="24"/>
        </w:rPr>
        <w:t xml:space="preserve">The Annals of Statistics</w:t>
      </w:r>
      <w:r>
        <w:rPr>
          <w:rFonts w:ascii="Times New Roman" w:hAnsi="Times New Roman"/>
          <w:sz w:val="24"/>
          <w:szCs w:val="24"/>
        </w:rPr>
        <w:t xml:space="preserve">, 3, 1163-1174, http://www.jstor.org/stable/2958370</w:t>
      </w:r>
    </w:p>
    <w:p>
      <w:pPr>
        <w:shd w:val="clear" w:color="auto" w:fill="FFFFFF"/>
        <w:spacing w:after="120" w:line="360" w:lineRule="auto"/>
        <w:rPr>
          <w:rFonts w:ascii="Times New Roman" w:hAnsi="Times New Roman"/>
          <w:sz w:val="24"/>
          <w:szCs w:val="24"/>
          <w:lang w:val="en-US"/>
        </w:rPr>
      </w:pPr>
      <w:r>
        <w:rPr>
          <w:rFonts w:ascii="Times New Roman" w:hAnsi="Times New Roman"/>
          <w:sz w:val="24"/>
          <w:szCs w:val="24"/>
          <w:lang w:val="en-US"/>
        </w:rPr>
        <w:t xml:space="preserve">Hutchinson, J., Konings, J., Walsh, P.P. (2010), The firm size distribution and inter-industry diversification, </w:t>
      </w:r>
      <w:r>
        <w:rPr>
          <w:rFonts w:ascii="Times New Roman" w:hAnsi="Times New Roman"/>
          <w:i/>
          <w:iCs/>
          <w:sz w:val="24"/>
          <w:szCs w:val="24"/>
          <w:lang w:val="en-US"/>
        </w:rPr>
        <w:t xml:space="preserve">Review of Industrial Organization</w:t>
      </w:r>
      <w:r>
        <w:rPr>
          <w:rFonts w:ascii="Times New Roman" w:hAnsi="Times New Roman"/>
          <w:sz w:val="24"/>
          <w:szCs w:val="24"/>
          <w:lang w:val="en-US"/>
        </w:rPr>
        <w:t xml:space="preserve">, 37, 64-82, </w:t>
      </w:r>
      <w:r>
        <w:rPr>
          <w:rFonts w:ascii="Times New Roman" w:hAnsi="Times New Roman"/>
          <w:sz w:val="24"/>
          <w:szCs w:val="24"/>
        </w:rPr>
        <w:t xml:space="preserve">https://doi.org/10.1007/s11151-010-9260-x</w:t>
      </w:r>
    </w:p>
    <w:p>
      <w:pPr>
        <w:spacing w:after="120" w:line="360" w:lineRule="auto"/>
        <w:rPr>
          <w:rFonts w:ascii="Times New Roman" w:hAnsi="Times New Roman"/>
          <w:sz w:val="24"/>
          <w:szCs w:val="24"/>
          <w:shd w:val="clear" w:color="auto" w:fill="FFFFFF"/>
          <w:lang w:val="en-US"/>
        </w:rPr>
      </w:pPr>
      <w:r>
        <w:rPr>
          <w:rFonts w:ascii="Times New Roman" w:hAnsi="Times New Roman"/>
          <w:color w:val="000000"/>
          <w:sz w:val="24"/>
          <w:szCs w:val="24"/>
          <w:shd w:val="clear" w:color="auto" w:fill="FFFFFF"/>
          <w:lang w:val="en-US"/>
        </w:rPr>
        <w:t xml:space="preserve">Jenkins, S., Van Kerm, P. (2015), PARETOFIT: Stata module to fit a type 1 Pareto distribution, </w:t>
      </w:r>
      <w:hyperlink r:id="rId16" w:history="1">
        <w:r>
          <w:rPr>
            <w:rStyle w:val="Hyperlink"/>
            <w:rFonts w:ascii="Times New Roman" w:hAnsi="Times New Roman"/>
            <w:color w:val="auto"/>
            <w:sz w:val="24"/>
            <w:szCs w:val="24"/>
            <w:u w:val="none"/>
            <w:shd w:val="clear" w:color="auto" w:fill="FFFFFF"/>
            <w:lang w:val="en-US"/>
          </w:rPr>
          <w:t xml:space="preserve">https://EconPapers.repec.org/RePEc:boc:bocode:s456832</w:t>
        </w:r>
      </w:hyperlink>
    </w:p>
    <w:p>
      <w:pPr>
        <w:spacing w:after="120" w:line="360" w:lineRule="auto"/>
        <w:rPr>
          <w:rFonts w:ascii="Times New Roman" w:hAnsi="Times New Roman"/>
          <w:sz w:val="24"/>
          <w:szCs w:val="24"/>
          <w:lang w:val="en-US"/>
        </w:rPr>
      </w:pPr>
      <w:r>
        <w:rPr>
          <w:rFonts w:ascii="Times New Roman" w:hAnsi="Times New Roman"/>
          <w:sz w:val="24"/>
          <w:szCs w:val="24"/>
          <w:lang w:val="en-US"/>
        </w:rPr>
        <w:t xml:space="preserve">Johnson, N. L., Kotz, S. (1970), </w:t>
      </w:r>
      <w:r>
        <w:rPr>
          <w:rFonts w:ascii="Times New Roman" w:hAnsi="Times New Roman"/>
          <w:i/>
          <w:iCs/>
          <w:sz w:val="24"/>
          <w:szCs w:val="24"/>
          <w:lang w:val="en-US"/>
        </w:rPr>
        <w:t xml:space="preserve">Continuous univariate distributions, New York</w:t>
      </w:r>
      <w:r>
        <w:rPr>
          <w:rFonts w:ascii="Times New Roman" w:hAnsi="Times New Roman"/>
          <w:sz w:val="24"/>
          <w:szCs w:val="24"/>
          <w:lang w:val="en-US"/>
        </w:rPr>
        <w:t xml:space="preserve">: John Wiley &amp; Sons, vol. 1 </w:t>
      </w:r>
    </w:p>
    <w:p>
      <w:pPr>
        <w:spacing w:after="120" w:line="360" w:lineRule="auto"/>
        <w:rPr>
          <w:rFonts w:ascii="Times New Roman" w:hAnsi="Times New Roman"/>
          <w:sz w:val="24"/>
          <w:szCs w:val="24"/>
          <w:lang w:val="en-US"/>
        </w:rPr>
      </w:pPr>
      <w:r>
        <w:rPr>
          <w:rFonts w:ascii="Times New Roman" w:hAnsi="Times New Roman"/>
          <w:sz w:val="24"/>
          <w:szCs w:val="24"/>
        </w:rPr>
        <w:t xml:space="preserve">Kendall, M. (1975), </w:t>
      </w:r>
      <w:r>
        <w:rPr>
          <w:rFonts w:ascii="Times New Roman" w:hAnsi="Times New Roman"/>
          <w:i/>
          <w:iCs/>
          <w:sz w:val="24"/>
          <w:szCs w:val="24"/>
        </w:rPr>
        <w:t xml:space="preserve">Rank correlation methods</w:t>
      </w:r>
      <w:r>
        <w:rPr>
          <w:rFonts w:ascii="Times New Roman" w:hAnsi="Times New Roman"/>
          <w:sz w:val="24"/>
          <w:szCs w:val="24"/>
        </w:rPr>
        <w:t xml:space="preserve">, London: Charles Griffin, 4th. ed.</w:t>
      </w:r>
    </w:p>
    <w:p>
      <w:pPr>
        <w:spacing w:after="120" w:line="360" w:lineRule="auto"/>
        <w:rPr>
          <w:rFonts w:ascii="Times New Roman" w:hAnsi="Times New Roman"/>
          <w:sz w:val="24"/>
          <w:szCs w:val="24"/>
          <w:lang w:val="en-US"/>
        </w:rPr>
      </w:pPr>
      <w:r>
        <w:rPr>
          <w:rFonts w:ascii="Times New Roman" w:hAnsi="Times New Roman"/>
          <w:color w:val="020202"/>
          <w:sz w:val="24"/>
          <w:szCs w:val="24"/>
          <w:lang w:val="en-US"/>
        </w:rPr>
        <w:t xml:space="preserve">Kumamoto, S.I., </w:t>
      </w:r>
      <w:r>
        <w:rPr>
          <w:rFonts w:ascii="Times New Roman" w:hAnsi="Times New Roman"/>
          <w:sz w:val="24"/>
          <w:szCs w:val="24"/>
          <w:lang w:val="en-US"/>
        </w:rPr>
        <w:t xml:space="preserve">Kamihigashi</w:t>
      </w:r>
      <w:r>
        <w:rPr>
          <w:rFonts w:ascii="Times New Roman" w:hAnsi="Times New Roman"/>
          <w:color w:val="020202"/>
          <w:sz w:val="24"/>
          <w:szCs w:val="24"/>
          <w:lang w:val="en-US"/>
        </w:rPr>
        <w:t xml:space="preserve">, T. (2018), Power laws in stochastic processes for social phenomena: an introductory review, </w:t>
      </w:r>
      <w:r>
        <w:rPr>
          <w:rFonts w:ascii="Times New Roman" w:hAnsi="Times New Roman"/>
          <w:i/>
          <w:iCs/>
          <w:color w:val="020202"/>
          <w:sz w:val="24"/>
          <w:szCs w:val="24"/>
          <w:lang w:val="en-US"/>
        </w:rPr>
        <w:t xml:space="preserve">Frontiers in Physics</w:t>
      </w:r>
      <w:r>
        <w:rPr>
          <w:rFonts w:ascii="Times New Roman" w:hAnsi="Times New Roman"/>
          <w:color w:val="020202"/>
          <w:sz w:val="24"/>
          <w:szCs w:val="24"/>
          <w:lang w:val="en-US"/>
        </w:rPr>
        <w:t xml:space="preserve">, 6: article 6, </w:t>
      </w:r>
      <w:r>
        <w:rPr>
          <w:rFonts w:ascii="Times New Roman" w:hAnsi="Times New Roman"/>
          <w:sz w:val="24"/>
          <w:szCs w:val="24"/>
          <w:lang w:val="en-US"/>
        </w:rPr>
        <w:t xml:space="preserve">https://doi.org/10.3389/fphy.2018.00020</w:t>
      </w:r>
    </w:p>
    <w:p>
      <w:pPr>
        <w:spacing w:after="120" w:line="360" w:lineRule="auto"/>
        <w:rPr>
          <w:rFonts w:ascii="Times New Roman" w:hAnsi="Times New Roman"/>
          <w:sz w:val="24"/>
          <w:szCs w:val="24"/>
        </w:rPr>
      </w:pPr>
      <w:r>
        <w:rPr>
          <w:rFonts w:ascii="Times New Roman" w:hAnsi="Times New Roman"/>
          <w:sz w:val="24"/>
          <w:szCs w:val="24"/>
          <w:lang w:val="en-US"/>
        </w:rPr>
        <w:t xml:space="preserve">Lotti, F., Santarelli, E. (2004), Industry dynamics and the distribution of firm sizes: a nonparametric approach, </w:t>
      </w:r>
      <w:r>
        <w:rPr>
          <w:rFonts w:ascii="Times New Roman" w:hAnsi="Times New Roman"/>
          <w:i/>
          <w:iCs/>
          <w:sz w:val="24"/>
          <w:szCs w:val="24"/>
          <w:lang w:val="en-US"/>
        </w:rPr>
        <w:t xml:space="preserve">Southern Economic Journal</w:t>
      </w:r>
      <w:r>
        <w:rPr>
          <w:rFonts w:ascii="Times New Roman" w:hAnsi="Times New Roman"/>
          <w:sz w:val="24"/>
          <w:szCs w:val="24"/>
          <w:lang w:val="en-US"/>
        </w:rPr>
        <w:t xml:space="preserve">, 70: 443-466, </w:t>
      </w:r>
      <w:r>
        <w:rPr>
          <w:rFonts w:ascii="Times New Roman" w:hAnsi="Times New Roman"/>
          <w:sz w:val="24"/>
          <w:szCs w:val="24"/>
        </w:rPr>
        <w:t xml:space="preserve"> </w:t>
      </w:r>
      <w:hyperlink r:id="rId17" w:history="1">
        <w:r>
          <w:rPr>
            <w:rStyle w:val="Hyperlink"/>
            <w:rFonts w:ascii="Times New Roman" w:hAnsi="Times New Roman"/>
            <w:color w:val="auto"/>
            <w:sz w:val="24"/>
            <w:szCs w:val="24"/>
            <w:u w:val="none"/>
          </w:rPr>
          <w:t xml:space="preserve">https://doi.org/10.1002/j.2325-8012.2004.tb00583.x</w:t>
        </w:r>
      </w:hyperlink>
    </w:p>
    <w:p>
      <w:pPr>
        <w:spacing w:after="120" w:line="360" w:lineRule="auto"/>
        <w:rPr>
          <w:rFonts w:ascii="Times New Roman" w:hAnsi="Times New Roman"/>
          <w:sz w:val="24"/>
          <w:szCs w:val="24"/>
        </w:rPr>
      </w:pPr>
      <w:r>
        <w:rPr>
          <w:rFonts w:ascii="Times New Roman" w:hAnsi="Times New Roman"/>
          <w:sz w:val="24"/>
          <w:szCs w:val="24"/>
          <w:lang w:val="en-US"/>
        </w:rPr>
        <w:t xml:space="preserve">Luttmer, E.G.J. (2007), Selection, growth, and the size distribution of firms, </w:t>
      </w:r>
      <w:r>
        <w:rPr>
          <w:rFonts w:ascii="Times New Roman" w:hAnsi="Times New Roman"/>
          <w:i/>
          <w:iCs/>
          <w:sz w:val="24"/>
          <w:szCs w:val="24"/>
          <w:lang w:val="en-US"/>
        </w:rPr>
        <w:t xml:space="preserve">Quarterly Journal of Economics</w:t>
      </w:r>
      <w:r>
        <w:rPr>
          <w:rFonts w:ascii="Times New Roman" w:hAnsi="Times New Roman"/>
          <w:sz w:val="24"/>
          <w:szCs w:val="24"/>
          <w:lang w:val="en-US"/>
        </w:rPr>
        <w:t xml:space="preserve">, 122, 1103-1144, </w:t>
      </w:r>
      <w:hyperlink r:id="rId18" w:history="1">
        <w:r>
          <w:rPr>
            <w:rStyle w:val="Hyperlink"/>
            <w:rFonts w:ascii="Times New Roman" w:hAnsi="Times New Roman"/>
            <w:color w:val="auto"/>
            <w:sz w:val="24"/>
            <w:szCs w:val="24"/>
            <w:u w:val="none"/>
          </w:rPr>
          <w:t xml:space="preserve">https://doi.org/10.1162/qjec.122.3.1103</w:t>
        </w:r>
      </w:hyperlink>
    </w:p>
    <w:p>
      <w:pPr>
        <w:spacing w:after="120" w:line="360" w:lineRule="auto"/>
        <w:rPr>
          <w:rFonts w:ascii="Times New Roman" w:hAnsi="Times New Roman"/>
          <w:sz w:val="24"/>
          <w:szCs w:val="24"/>
        </w:rPr>
      </w:pPr>
      <w:r>
        <w:rPr>
          <w:rFonts w:ascii="Times New Roman" w:hAnsi="Times New Roman"/>
          <w:sz w:val="24"/>
          <w:szCs w:val="24"/>
        </w:rPr>
        <w:t xml:space="preserve">Mann, H. (1945), Nonparametric tests against trend, </w:t>
      </w:r>
      <w:r>
        <w:rPr>
          <w:rFonts w:ascii="Times New Roman" w:hAnsi="Times New Roman"/>
          <w:i/>
          <w:iCs/>
          <w:sz w:val="24"/>
          <w:szCs w:val="24"/>
        </w:rPr>
        <w:t xml:space="preserve">Econometrica</w:t>
      </w:r>
      <w:r>
        <w:rPr>
          <w:rFonts w:ascii="Times New Roman" w:hAnsi="Times New Roman"/>
          <w:sz w:val="24"/>
          <w:szCs w:val="24"/>
        </w:rPr>
        <w:t xml:space="preserve">, 13, 245-259, </w:t>
      </w:r>
      <w:hyperlink r:id="rId19" w:history="1">
        <w:r>
          <w:rPr>
            <w:rStyle w:val="Hyperlink"/>
            <w:rFonts w:ascii="Times New Roman" w:hAnsi="Times New Roman"/>
            <w:color w:val="auto"/>
            <w:sz w:val="24"/>
            <w:szCs w:val="24"/>
            <w:u w:val="none"/>
          </w:rPr>
          <w:t xml:space="preserve">https://www.jstor.org/stable/1907187</w:t>
        </w:r>
      </w:hyperlink>
    </w:p>
    <w:p>
      <w:pPr>
        <w:spacing w:after="120" w:line="360" w:lineRule="auto"/>
        <w:rPr>
          <w:rFonts w:ascii="Times New Roman" w:hAnsi="Times New Roman"/>
          <w:sz w:val="24"/>
          <w:szCs w:val="24"/>
          <w:lang w:val="en-US"/>
        </w:rPr>
      </w:pPr>
      <w:r>
        <w:rPr>
          <w:rFonts w:ascii="Times New Roman" w:hAnsi="Times New Roman"/>
          <w:sz w:val="24"/>
          <w:szCs w:val="24"/>
          <w:lang w:val="en-US"/>
        </w:rPr>
        <w:t xml:space="preserve">Maurel, F.; Sédillot, B. (1999), A measure of the geographic concentration in French manufacturing industries, </w:t>
      </w:r>
      <w:r>
        <w:rPr>
          <w:rFonts w:ascii="Times New Roman" w:hAnsi="Times New Roman"/>
          <w:i/>
          <w:iCs/>
          <w:sz w:val="24"/>
          <w:szCs w:val="24"/>
          <w:lang w:val="en-US"/>
        </w:rPr>
        <w:t xml:space="preserve">Regional Science and Urban Economics</w:t>
      </w:r>
      <w:r>
        <w:rPr>
          <w:rFonts w:ascii="Times New Roman" w:hAnsi="Times New Roman"/>
          <w:sz w:val="24"/>
          <w:szCs w:val="24"/>
          <w:lang w:val="en-US"/>
        </w:rPr>
        <w:t xml:space="preserve">, 29, 575-604, https://doi.org/</w:t>
      </w:r>
      <w:hyperlink r:id="rId20" w:history="1">
        <w:r>
          <w:rPr>
            <w:rStyle w:val="Hyperlink"/>
            <w:rFonts w:ascii="Times New Roman" w:hAnsi="Times New Roman"/>
            <w:color w:val="auto"/>
            <w:sz w:val="24"/>
            <w:szCs w:val="24"/>
            <w:u w:val="none"/>
          </w:rPr>
          <w:t xml:space="preserve">10.1016/S0166-0462(99)00020-4</w:t>
        </w:r>
      </w:hyperlink>
    </w:p>
    <w:p>
      <w:pPr>
        <w:spacing w:after="120" w:line="360" w:lineRule="auto"/>
        <w:rPr>
          <w:rFonts w:ascii="Times New Roman" w:hAnsi="Times New Roman"/>
          <w:sz w:val="24"/>
          <w:szCs w:val="24"/>
          <w:lang w:val="en-US"/>
        </w:rPr>
      </w:pPr>
      <w:r>
        <w:rPr>
          <w:rFonts w:ascii="Times New Roman" w:hAnsi="Times New Roman"/>
          <w:sz w:val="24"/>
          <w:szCs w:val="24"/>
          <w:lang w:val="en-US"/>
        </w:rPr>
        <w:t xml:space="preserve">Pareto, V. (1897), </w:t>
      </w:r>
      <w:r>
        <w:rPr>
          <w:rFonts w:ascii="Times New Roman" w:hAnsi="Times New Roman"/>
          <w:i/>
          <w:iCs/>
          <w:sz w:val="24"/>
          <w:szCs w:val="24"/>
          <w:lang w:val="en-US"/>
        </w:rPr>
        <w:t xml:space="preserve">Cours d’économie politique</w:t>
      </w:r>
      <w:r>
        <w:rPr>
          <w:rFonts w:ascii="Times New Roman" w:hAnsi="Times New Roman"/>
          <w:sz w:val="24"/>
          <w:szCs w:val="24"/>
          <w:lang w:val="en-US"/>
        </w:rPr>
        <w:t xml:space="preserve">, Lausanne: F. Rouge, vol. II</w:t>
      </w:r>
    </w:p>
    <w:p>
      <w:pPr>
        <w:tabs>
          <w:tab w:val="left" w:pos="3402"/>
        </w:tabs>
        <w:spacing w:after="120" w:line="360" w:lineRule="auto"/>
        <w:rPr>
          <w:rFonts w:ascii="Times New Roman" w:hAnsi="Times New Roman"/>
          <w:sz w:val="24"/>
          <w:szCs w:val="24"/>
        </w:rPr>
      </w:pPr>
      <w:r>
        <w:rPr>
          <w:rFonts w:ascii="Times New Roman" w:hAnsi="Times New Roman"/>
          <w:sz w:val="24"/>
          <w:szCs w:val="24"/>
        </w:rPr>
        <w:t xml:space="preserve">Pettitt, A. N. (1979), A non-parametric approach to the change-point problem, </w:t>
      </w:r>
      <w:r>
        <w:rPr>
          <w:rFonts w:ascii="Times New Roman" w:hAnsi="Times New Roman"/>
          <w:i/>
          <w:iCs/>
          <w:sz w:val="24"/>
          <w:szCs w:val="24"/>
        </w:rPr>
        <w:t xml:space="preserve">Journal of the Royal Statistical Society: Series C (Applied Statistics),</w:t>
      </w:r>
      <w:r>
        <w:rPr>
          <w:rFonts w:ascii="Times New Roman" w:hAnsi="Times New Roman"/>
          <w:b/>
          <w:bCs/>
          <w:sz w:val="24"/>
          <w:szCs w:val="24"/>
        </w:rPr>
        <w:t xml:space="preserve"> </w:t>
      </w:r>
      <w:r>
        <w:rPr>
          <w:rFonts w:ascii="Times New Roman" w:hAnsi="Times New Roman"/>
          <w:sz w:val="24"/>
          <w:szCs w:val="24"/>
        </w:rPr>
        <w:t xml:space="preserve">28, 126-135,  </w:t>
      </w:r>
      <w:hyperlink r:id="rId21" w:history="1">
        <w:r>
          <w:rPr>
            <w:rStyle w:val="Hyperlink"/>
            <w:rFonts w:ascii="Times New Roman" w:hAnsi="Times New Roman"/>
            <w:color w:val="auto"/>
            <w:sz w:val="24"/>
            <w:szCs w:val="24"/>
            <w:u w:val="none"/>
          </w:rPr>
          <w:t xml:space="preserve">https://doi.org/10.2307/2346729</w:t>
        </w:r>
      </w:hyperlink>
    </w:p>
    <w:p>
      <w:pPr>
        <w:shd w:val="clear" w:color="auto" w:fill="FFFFFF"/>
        <w:spacing w:after="120" w:line="360" w:lineRule="auto"/>
        <w:rPr>
          <w:rFonts w:ascii="Times New Roman" w:hAnsi="Times New Roman"/>
          <w:sz w:val="24"/>
          <w:szCs w:val="24"/>
        </w:rPr>
      </w:pPr>
      <w:r>
        <w:rPr>
          <w:rFonts w:ascii="Times New Roman" w:hAnsi="Times New Roman"/>
          <w:sz w:val="24"/>
          <w:szCs w:val="24"/>
        </w:rPr>
        <w:t xml:space="preserve">Resende, M. (2004), Lei de Gibrat na indústria brasileira: evidência empírica, </w:t>
      </w:r>
      <w:r>
        <w:rPr>
          <w:rFonts w:ascii="Times New Roman" w:hAnsi="Times New Roman"/>
          <w:i/>
          <w:iCs/>
          <w:sz w:val="24"/>
          <w:szCs w:val="24"/>
        </w:rPr>
        <w:t xml:space="preserve">EconomiA, 5, 221-268</w:t>
      </w:r>
    </w:p>
    <w:p>
      <w:pPr>
        <w:shd w:val="clear" w:color="auto" w:fill="FFFFFF"/>
        <w:spacing w:after="120" w:line="360" w:lineRule="auto"/>
        <w:rPr>
          <w:rFonts w:ascii="Times New Roman" w:hAnsi="Times New Roman"/>
          <w:sz w:val="24"/>
          <w:szCs w:val="24"/>
        </w:rPr>
      </w:pPr>
      <w:r>
        <w:rPr>
          <w:rFonts w:ascii="Times New Roman" w:hAnsi="Times New Roman"/>
          <w:sz w:val="24"/>
          <w:szCs w:val="24"/>
        </w:rPr>
        <w:t xml:space="preserve">Resende, M. (2015), Industrial coagglomeration: some state-level evidence for Brazil, </w:t>
      </w:r>
      <w:r>
        <w:rPr>
          <w:rFonts w:ascii="Times New Roman" w:hAnsi="Times New Roman"/>
          <w:i/>
          <w:iCs/>
          <w:sz w:val="24"/>
          <w:szCs w:val="24"/>
        </w:rPr>
        <w:t xml:space="preserve">Nova Economia</w:t>
      </w:r>
      <w:r>
        <w:rPr>
          <w:rFonts w:ascii="Times New Roman" w:hAnsi="Times New Roman"/>
          <w:sz w:val="24"/>
          <w:szCs w:val="24"/>
        </w:rPr>
        <w:t xml:space="preserve">, 25, 181-194, </w:t>
      </w:r>
      <w:hyperlink r:id="rId22" w:history="1">
        <w:r>
          <w:rPr>
            <w:rStyle w:val="Hyperlink"/>
            <w:rFonts w:ascii="Times New Roman" w:hAnsi="Times New Roman"/>
            <w:color w:val="auto"/>
            <w:sz w:val="24"/>
            <w:szCs w:val="24"/>
            <w:u w:val="none"/>
          </w:rPr>
          <w:t xml:space="preserve">https://doi.org/10.1590/0103-6351/2917</w:t>
        </w:r>
      </w:hyperlink>
      <w:r>
        <w:rPr>
          <w:rFonts w:ascii="Times New Roman" w:hAnsi="Times New Roman"/>
          <w:sz w:val="24"/>
          <w:szCs w:val="24"/>
        </w:rPr>
        <w:t xml:space="preserve"> </w:t>
      </w:r>
    </w:p>
    <w:p>
      <w:pPr>
        <w:shd w:val="clear" w:color="auto" w:fill="FFFFFF"/>
        <w:spacing w:after="120" w:line="360" w:lineRule="auto"/>
        <w:rPr>
          <w:rFonts w:ascii="Times New Roman" w:hAnsi="Times New Roman"/>
          <w:sz w:val="24"/>
          <w:szCs w:val="24"/>
          <w:lang w:val="en-US"/>
        </w:rPr>
      </w:pPr>
      <w:r>
        <w:rPr>
          <w:rFonts w:ascii="Times New Roman" w:hAnsi="Times New Roman"/>
          <w:sz w:val="24"/>
          <w:szCs w:val="24"/>
          <w:lang w:val="en-US"/>
        </w:rPr>
        <w:t xml:space="preserve">Resende, M., Cardoso, V. (2013), Gibrat’s law in Brazilian franchising: an empirical note, </w:t>
      </w:r>
      <w:r>
        <w:rPr>
          <w:rFonts w:ascii="Times New Roman" w:hAnsi="Times New Roman"/>
          <w:i/>
          <w:iCs/>
          <w:sz w:val="24"/>
          <w:szCs w:val="24"/>
          <w:lang w:val="en-US"/>
        </w:rPr>
        <w:t xml:space="preserve">Economics Bulletin</w:t>
      </w:r>
      <w:r>
        <w:rPr>
          <w:rFonts w:ascii="Times New Roman" w:hAnsi="Times New Roman"/>
          <w:sz w:val="24"/>
          <w:szCs w:val="24"/>
          <w:lang w:val="en-US"/>
        </w:rPr>
        <w:t xml:space="preserve">, 33, 247-256</w:t>
      </w:r>
    </w:p>
    <w:p>
      <w:pPr>
        <w:shd w:val="clear" w:color="auto" w:fill="FFFFFF"/>
        <w:spacing w:after="120" w:line="360" w:lineRule="auto"/>
        <w:rPr>
          <w:rFonts w:ascii="Times New Roman" w:hAnsi="Times New Roman"/>
          <w:sz w:val="24"/>
          <w:szCs w:val="24"/>
          <w:lang w:val="en-US"/>
        </w:rPr>
      </w:pPr>
      <w:r>
        <w:rPr>
          <w:rFonts w:ascii="Times New Roman" w:hAnsi="Times New Roman"/>
          <w:sz w:val="24"/>
          <w:szCs w:val="24"/>
          <w:lang w:val="en-US"/>
        </w:rPr>
        <w:t xml:space="preserve">Resende, M., Wyllie, R. (2005), Aglomeração industrial no Brasil: um estudo empírico, </w:t>
      </w:r>
      <w:r>
        <w:rPr>
          <w:rFonts w:ascii="Times New Roman" w:hAnsi="Times New Roman"/>
          <w:i/>
          <w:iCs/>
          <w:sz w:val="24"/>
          <w:szCs w:val="24"/>
          <w:lang w:val="en-US"/>
        </w:rPr>
        <w:t xml:space="preserve">Estudos Econômicos</w:t>
      </w:r>
      <w:r>
        <w:rPr>
          <w:rFonts w:ascii="Times New Roman" w:hAnsi="Times New Roman"/>
          <w:sz w:val="24"/>
          <w:szCs w:val="24"/>
          <w:lang w:val="en-US"/>
        </w:rPr>
        <w:t xml:space="preserve">, 35, 433-460, </w:t>
      </w:r>
      <w:r>
        <w:rPr>
          <w:rFonts w:ascii="Times New Roman" w:hAnsi="Times New Roman"/>
          <w:sz w:val="24"/>
          <w:szCs w:val="24"/>
        </w:rPr>
        <w:t xml:space="preserve"> </w:t>
      </w:r>
      <w:hyperlink r:id="rId23" w:history="1">
        <w:r>
          <w:rPr>
            <w:rStyle w:val="Hyperlink"/>
            <w:rFonts w:ascii="Times New Roman" w:hAnsi="Times New Roman"/>
            <w:color w:val="auto"/>
            <w:sz w:val="24"/>
            <w:szCs w:val="24"/>
            <w:u w:val="none"/>
          </w:rPr>
          <w:t xml:space="preserve">https://doi.org/10.1590/S0101-41612005000300002</w:t>
        </w:r>
      </w:hyperlink>
      <w:r>
        <w:rPr>
          <w:rFonts w:ascii="Times New Roman" w:hAnsi="Times New Roman"/>
          <w:sz w:val="24"/>
          <w:szCs w:val="24"/>
        </w:rPr>
        <w:t xml:space="preserve"> </w:t>
      </w:r>
    </w:p>
    <w:p>
      <w:pPr>
        <w:shd w:val="clear" w:color="auto" w:fill="FFFFFF"/>
        <w:spacing w:after="120" w:line="360" w:lineRule="auto"/>
        <w:rPr>
          <w:rFonts w:ascii="Times New Roman" w:hAnsi="Times New Roman"/>
          <w:sz w:val="24"/>
          <w:szCs w:val="24"/>
          <w:lang w:val="en-US"/>
        </w:rPr>
      </w:pPr>
      <w:r>
        <w:rPr>
          <w:rFonts w:ascii="Times New Roman" w:hAnsi="Times New Roman"/>
          <w:sz w:val="24"/>
          <w:szCs w:val="24"/>
          <w:lang w:val="en-US"/>
        </w:rPr>
        <w:t xml:space="preserve">Ribeiro, E.P. (2007), The dynamics of firm size distribution, Brazilian Review of Econometrics, 27, 199-223, </w:t>
      </w:r>
      <w:hyperlink r:id="rId24" w:history="1">
        <w:r>
          <w:rPr>
            <w:rStyle w:val="Hyperlink"/>
            <w:rFonts w:ascii="Times New Roman" w:hAnsi="Times New Roman"/>
            <w:color w:val="auto"/>
            <w:sz w:val="24"/>
            <w:szCs w:val="24"/>
            <w:u w:val="none"/>
          </w:rPr>
          <w:t xml:space="preserve">https://doi.org/10.12660/bre.v27n22007.1525</w:t>
        </w:r>
      </w:hyperlink>
    </w:p>
    <w:p>
      <w:pPr>
        <w:shd w:val="clear" w:color="auto" w:fill="FFFFFF"/>
        <w:spacing w:after="120" w:line="360" w:lineRule="auto"/>
        <w:rPr>
          <w:rFonts w:ascii="Times New Roman" w:hAnsi="Times New Roman"/>
          <w:sz w:val="24"/>
          <w:szCs w:val="24"/>
          <w:u w:val="single"/>
          <w:lang w:val="en-US"/>
        </w:rPr>
      </w:pPr>
      <w:r>
        <w:rPr>
          <w:rFonts w:ascii="Times New Roman" w:hAnsi="Times New Roman"/>
          <w:sz w:val="24"/>
          <w:szCs w:val="24"/>
          <w:lang w:val="en-US"/>
        </w:rPr>
        <w:t xml:space="preserve">Rodrik, D. (2016), Premature deindustrialization, </w:t>
      </w:r>
      <w:r>
        <w:rPr>
          <w:rFonts w:ascii="Times New Roman" w:hAnsi="Times New Roman"/>
          <w:i/>
          <w:iCs/>
          <w:sz w:val="24"/>
          <w:szCs w:val="24"/>
          <w:lang w:val="en-US"/>
        </w:rPr>
        <w:t xml:space="preserve">Journal of Economic Growth</w:t>
      </w:r>
      <w:r>
        <w:rPr>
          <w:rFonts w:ascii="Times New Roman" w:hAnsi="Times New Roman"/>
          <w:sz w:val="24"/>
          <w:szCs w:val="24"/>
          <w:lang w:val="en-US"/>
        </w:rPr>
        <w:t xml:space="preserve">, 21, 1-33, </w:t>
      </w:r>
      <w:r>
        <w:rPr>
          <w:rFonts w:ascii="Times New Roman" w:hAnsi="Times New Roman"/>
          <w:sz w:val="24"/>
          <w:szCs w:val="24"/>
        </w:rPr>
        <w:t xml:space="preserve">https://doi.org/10.1007/s10887-015-9122-3</w:t>
      </w:r>
    </w:p>
    <w:p>
      <w:pPr>
        <w:shd w:val="clear" w:color="auto" w:fill="FFFFFF"/>
        <w:spacing w:after="120" w:line="360" w:lineRule="auto"/>
        <w:rPr>
          <w:rFonts w:ascii="Times New Roman" w:hAnsi="Times New Roman"/>
          <w:sz w:val="24"/>
          <w:szCs w:val="24"/>
          <w:lang w:val="en-US"/>
        </w:rPr>
      </w:pPr>
      <w:r>
        <w:rPr>
          <w:rFonts w:ascii="Times New Roman" w:hAnsi="Times New Roman"/>
          <w:sz w:val="24"/>
          <w:szCs w:val="24"/>
          <w:lang w:val="en-US"/>
        </w:rPr>
        <w:t xml:space="preserve">Rossi-Hansberg, E., Wright, M.L.J. (2007), Establishment size dynamics in the aggregate economy, </w:t>
      </w:r>
      <w:r>
        <w:rPr>
          <w:rFonts w:ascii="Times New Roman" w:hAnsi="Times New Roman"/>
          <w:i/>
          <w:iCs/>
          <w:sz w:val="24"/>
          <w:szCs w:val="24"/>
          <w:lang w:val="en-US"/>
        </w:rPr>
        <w:t xml:space="preserve">American Economic Review</w:t>
      </w:r>
      <w:r>
        <w:rPr>
          <w:rFonts w:ascii="Times New Roman" w:hAnsi="Times New Roman"/>
          <w:sz w:val="24"/>
          <w:szCs w:val="24"/>
          <w:lang w:val="en-US"/>
        </w:rPr>
        <w:t xml:space="preserve">, 97, 1639-1666, </w:t>
      </w:r>
      <w:r>
        <w:rPr>
          <w:rFonts w:ascii="Times New Roman" w:hAnsi="Times New Roman"/>
          <w:sz w:val="24"/>
          <w:szCs w:val="24"/>
        </w:rPr>
        <w:t xml:space="preserve">https://doi.org/10.1257/aer.97.5.1639</w:t>
      </w:r>
    </w:p>
    <w:p>
      <w:pPr>
        <w:shd w:val="clear" w:color="auto" w:fill="FFFFFF"/>
        <w:spacing w:after="120" w:line="360" w:lineRule="auto"/>
        <w:rPr>
          <w:rFonts w:ascii="Times New Roman" w:hAnsi="Times New Roman"/>
          <w:sz w:val="24"/>
          <w:szCs w:val="24"/>
          <w:lang w:val="en-US"/>
        </w:rPr>
      </w:pPr>
      <w:r>
        <w:rPr>
          <w:rFonts w:ascii="Times New Roman" w:hAnsi="Times New Roman"/>
          <w:sz w:val="24"/>
          <w:szCs w:val="24"/>
          <w:lang w:val="en-US"/>
        </w:rPr>
        <w:t xml:space="preserve">Saichev, A., Malevergne, Y., Sornette, D. (2010),</w:t>
      </w:r>
      <w:r>
        <w:rPr>
          <w:rFonts w:ascii="Times New Roman" w:hAnsi="Times New Roman"/>
          <w:i/>
          <w:sz w:val="24"/>
          <w:szCs w:val="24"/>
          <w:lang w:val="en-US"/>
        </w:rPr>
        <w:t xml:space="preserve"> </w:t>
      </w:r>
      <w:r>
        <w:rPr>
          <w:rFonts w:ascii="Times New Roman" w:hAnsi="Times New Roman"/>
          <w:i/>
          <w:iCs/>
          <w:sz w:val="24"/>
          <w:szCs w:val="24"/>
          <w:lang w:val="en-US"/>
        </w:rPr>
        <w:t xml:space="preserve">Theory of Zipf’s law and beyond</w:t>
      </w:r>
      <w:r>
        <w:rPr>
          <w:rFonts w:ascii="Times New Roman" w:hAnsi="Times New Roman"/>
          <w:sz w:val="24"/>
          <w:szCs w:val="24"/>
          <w:lang w:val="en-US"/>
        </w:rPr>
        <w:t xml:space="preserve">, Berlin: Springer-Verlag.</w:t>
      </w:r>
    </w:p>
    <w:p>
      <w:pPr>
        <w:spacing w:after="120" w:line="360" w:lineRule="auto"/>
        <w:rPr>
          <w:rFonts w:ascii="Times New Roman" w:hAnsi="Times New Roman"/>
          <w:sz w:val="24"/>
          <w:szCs w:val="24"/>
        </w:rPr>
      </w:pPr>
      <w:r>
        <w:rPr>
          <w:rFonts w:ascii="Times New Roman" w:hAnsi="Times New Roman"/>
          <w:sz w:val="24"/>
          <w:szCs w:val="24"/>
        </w:rPr>
        <w:t xml:space="preserve">Santos, E.G. (2026), Modelo de inflação por conflito: uma avaliação com microfundamentos e simulação, D.Sc. dissertation, Instituto de Economia, Universidade Federal do Rio de Janeiro, Brazil</w:t>
      </w:r>
    </w:p>
    <w:p>
      <w:pPr>
        <w:shd w:val="clear" w:color="auto" w:fill="FCFCFC"/>
        <w:spacing w:after="120" w:line="360" w:lineRule="auto"/>
        <w:rPr>
          <w:rFonts w:ascii="Times New Roman" w:hAnsi="Times New Roman"/>
          <w:sz w:val="24"/>
          <w:szCs w:val="24"/>
          <w:lang w:val="en-US"/>
        </w:rPr>
      </w:pPr>
      <w:r>
        <w:rPr>
          <w:rFonts w:ascii="Times New Roman" w:hAnsi="Times New Roman"/>
          <w:sz w:val="24"/>
          <w:szCs w:val="24"/>
          <w:shd w:val="clear" w:color="auto" w:fill="FCFCFC"/>
          <w:lang w:val="en-US"/>
        </w:rPr>
        <w:t xml:space="preserve">Schluter, C. (2021), </w:t>
      </w:r>
      <w:r>
        <w:rPr>
          <w:rFonts w:ascii="Times New Roman" w:hAnsi="Times New Roman"/>
          <w:sz w:val="24"/>
          <w:szCs w:val="24"/>
          <w:lang w:val="en-US"/>
        </w:rPr>
        <w:t xml:space="preserve">On Zipf’s law and the bias of Zipf regressions, </w:t>
      </w:r>
      <w:r>
        <w:rPr>
          <w:rFonts w:ascii="Times New Roman" w:hAnsi="Times New Roman"/>
          <w:i/>
          <w:iCs/>
          <w:sz w:val="24"/>
          <w:szCs w:val="24"/>
          <w:lang w:val="en-US"/>
        </w:rPr>
        <w:t xml:space="preserve">Empirical Economics</w:t>
      </w:r>
      <w:r>
        <w:rPr>
          <w:rFonts w:ascii="Times New Roman" w:hAnsi="Times New Roman"/>
          <w:sz w:val="24"/>
          <w:szCs w:val="24"/>
          <w:lang w:val="en-US"/>
        </w:rPr>
        <w:t xml:space="preserve">, 61, 529-548, </w:t>
      </w:r>
      <w:r>
        <w:rPr>
          <w:rFonts w:ascii="Times New Roman" w:hAnsi="Times New Roman"/>
          <w:sz w:val="24"/>
          <w:szCs w:val="24"/>
        </w:rPr>
        <w:t xml:space="preserve">https://doi.org/10.1007/s00181-020-01879-3</w:t>
      </w:r>
      <w:r>
        <w:rPr>
          <w:rFonts w:ascii="Times New Roman" w:hAnsi="Times New Roman"/>
          <w:sz w:val="24"/>
          <w:szCs w:val="24"/>
          <w:lang w:val="en-US"/>
        </w:rPr>
        <w:t xml:space="preserve"> </w:t>
      </w:r>
    </w:p>
    <w:p>
      <w:pPr>
        <w:shd w:val="clear" w:color="auto" w:fill="FCFCFC"/>
        <w:spacing w:after="120"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Segarra, A., Teruel, M. (2012), An appraisal of firm size distribution: does sample size matter?, </w:t>
      </w:r>
      <w:r>
        <w:rPr>
          <w:rFonts w:ascii="Times New Roman" w:hAnsi="Times New Roman"/>
          <w:i/>
          <w:iCs/>
          <w:color w:val="000000"/>
          <w:sz w:val="24"/>
          <w:szCs w:val="24"/>
          <w:lang w:val="en-US"/>
        </w:rPr>
        <w:t xml:space="preserve">Journal of Economic Behavior &amp; Organization</w:t>
      </w:r>
      <w:r>
        <w:rPr>
          <w:rFonts w:ascii="Times New Roman" w:hAnsi="Times New Roman"/>
          <w:color w:val="000000"/>
          <w:sz w:val="24"/>
          <w:szCs w:val="24"/>
          <w:lang w:val="en-US"/>
        </w:rPr>
        <w:t xml:space="preserve">, 82, 314-328, </w:t>
      </w:r>
      <w:r>
        <w:rPr>
          <w:rFonts w:ascii="Times New Roman" w:hAnsi="Times New Roman"/>
          <w:color w:val="000000"/>
          <w:sz w:val="24"/>
          <w:szCs w:val="24"/>
        </w:rPr>
        <w:t xml:space="preserve">https://doi.org/</w:t>
      </w:r>
      <w:hyperlink r:id="rId25" w:history="1">
        <w:r>
          <w:rPr>
            <w:rStyle w:val="Hyperlink"/>
            <w:rFonts w:ascii="Times New Roman" w:hAnsi="Times New Roman"/>
            <w:color w:val="000000"/>
            <w:sz w:val="24"/>
            <w:szCs w:val="24"/>
            <w:u w:val="none"/>
          </w:rPr>
          <w:t xml:space="preserve">10.1016/j.jebo.2012.02.012</w:t>
        </w:r>
      </w:hyperlink>
    </w:p>
    <w:p>
      <w:pPr>
        <w:shd w:val="clear" w:color="auto" w:fill="FCFCFC"/>
        <w:spacing w:after="120" w:line="360" w:lineRule="auto"/>
        <w:rPr>
          <w:rFonts w:ascii="Times New Roman" w:hAnsi="Times New Roman"/>
          <w:sz w:val="24"/>
          <w:szCs w:val="24"/>
          <w:shd w:val="clear" w:color="auto" w:fill="FCFCFC"/>
          <w:lang w:val="en-US"/>
        </w:rPr>
      </w:pPr>
      <w:r>
        <w:rPr>
          <w:rFonts w:ascii="Times New Roman" w:hAnsi="Times New Roman"/>
          <w:sz w:val="24"/>
          <w:szCs w:val="24"/>
          <w:lang w:val="en-US"/>
        </w:rPr>
        <w:t xml:space="preserve">Sen, P.K. (1968), Estimates of the regression coefficient based on Kendall’s tau, </w:t>
      </w:r>
      <w:r>
        <w:rPr>
          <w:rFonts w:ascii="Times New Roman" w:hAnsi="Times New Roman"/>
          <w:i/>
          <w:iCs/>
          <w:sz w:val="24"/>
          <w:szCs w:val="24"/>
          <w:lang w:val="en-US"/>
        </w:rPr>
        <w:t xml:space="preserve">Journal of the American Statistical Association</w:t>
      </w:r>
      <w:r>
        <w:rPr>
          <w:rFonts w:ascii="Times New Roman" w:hAnsi="Times New Roman"/>
          <w:sz w:val="24"/>
          <w:szCs w:val="24"/>
          <w:lang w:val="en-US"/>
        </w:rPr>
        <w:t xml:space="preserve">, 63, 1379-1389, </w:t>
      </w:r>
      <w:r>
        <w:rPr>
          <w:rFonts w:ascii="Times New Roman" w:hAnsi="Times New Roman"/>
          <w:sz w:val="24"/>
          <w:szCs w:val="24"/>
        </w:rPr>
        <w:t xml:space="preserve">https://doi.org/10.1080/01621459.1968.10480934</w:t>
      </w:r>
      <w:r>
        <w:rPr>
          <w:rFonts w:ascii="Times New Roman" w:hAnsi="Times New Roman"/>
          <w:sz w:val="24"/>
          <w:szCs w:val="24"/>
          <w:lang w:val="en-US"/>
        </w:rPr>
        <w:t xml:space="preserve"> </w:t>
      </w:r>
    </w:p>
    <w:p>
      <w:pPr>
        <w:shd w:val="clear" w:color="auto" w:fill="FCFCFC"/>
        <w:spacing w:after="120" w:line="360" w:lineRule="auto"/>
        <w:rPr>
          <w:rFonts w:ascii="Times New Roman" w:hAnsi="Times New Roman"/>
          <w:sz w:val="24"/>
          <w:szCs w:val="24"/>
          <w:shd w:val="clear" w:color="auto" w:fill="FCFCFC"/>
          <w:lang w:val="en-US"/>
        </w:rPr>
      </w:pPr>
      <w:r>
        <w:rPr>
          <w:rFonts w:ascii="Times New Roman" w:hAnsi="Times New Roman"/>
          <w:sz w:val="24"/>
          <w:szCs w:val="24"/>
          <w:shd w:val="clear" w:color="auto" w:fill="FCFCFC"/>
          <w:lang w:val="en-US"/>
        </w:rPr>
        <w:t xml:space="preserve">Sutton, J. (1997), </w:t>
      </w:r>
      <w:r>
        <w:rPr>
          <w:rFonts w:ascii="Times New Roman" w:hAnsi="Times New Roman"/>
          <w:spacing w:val="-5"/>
          <w:sz w:val="24"/>
          <w:szCs w:val="24"/>
          <w:lang w:val="en-US"/>
        </w:rPr>
        <w:t xml:space="preserve">Gibrat’s legacy, </w:t>
      </w:r>
      <w:r>
        <w:rPr>
          <w:rFonts w:ascii="Times New Roman" w:hAnsi="Times New Roman"/>
          <w:i/>
          <w:iCs/>
          <w:spacing w:val="-5"/>
          <w:sz w:val="24"/>
          <w:szCs w:val="24"/>
          <w:lang w:val="en-US"/>
        </w:rPr>
        <w:t xml:space="preserve">Journal of Economic Literature</w:t>
      </w:r>
      <w:r>
        <w:rPr>
          <w:rFonts w:ascii="Times New Roman" w:hAnsi="Times New Roman"/>
          <w:spacing w:val="-5"/>
          <w:sz w:val="24"/>
          <w:szCs w:val="24"/>
          <w:lang w:val="en-US"/>
        </w:rPr>
        <w:t xml:space="preserve">, 35, 40-59, </w:t>
      </w:r>
      <w:r>
        <w:rPr>
          <w:rFonts w:ascii="Times New Roman" w:hAnsi="Times New Roman"/>
          <w:spacing w:val="-5"/>
          <w:sz w:val="24"/>
          <w:szCs w:val="24"/>
        </w:rPr>
        <w:t xml:space="preserve">https://www.jstor.org/stable/2729692</w:t>
      </w:r>
    </w:p>
    <w:p>
      <w:pPr>
        <w:spacing w:after="120" w:line="360" w:lineRule="auto"/>
        <w:rPr>
          <w:rFonts w:ascii="Times New Roman" w:hAnsi="Times New Roman"/>
          <w:sz w:val="24"/>
          <w:szCs w:val="24"/>
          <w:lang w:val="en-US"/>
        </w:rPr>
      </w:pPr>
      <w:r>
        <w:rPr>
          <w:rFonts w:ascii="Times New Roman" w:hAnsi="Times New Roman"/>
          <w:color w:val="131413"/>
          <w:sz w:val="24"/>
          <w:szCs w:val="24"/>
          <w:lang w:val="en-US"/>
        </w:rPr>
        <w:t xml:space="preserve">Urzúa, C.M. (2000), A simple and efficient test for Zipf’s law, </w:t>
      </w:r>
      <w:r>
        <w:rPr>
          <w:rFonts w:ascii="Times New Roman" w:hAnsi="Times New Roman"/>
          <w:i/>
          <w:iCs/>
          <w:color w:val="131413"/>
          <w:sz w:val="24"/>
          <w:szCs w:val="24"/>
          <w:lang w:val="en-US"/>
        </w:rPr>
        <w:t xml:space="preserve">Economics Letters, 66</w:t>
      </w:r>
      <w:r>
        <w:rPr>
          <w:rFonts w:ascii="Times New Roman" w:hAnsi="Times New Roman"/>
          <w:color w:val="131413"/>
          <w:sz w:val="24"/>
          <w:szCs w:val="24"/>
          <w:lang w:val="en-US"/>
        </w:rPr>
        <w:t xml:space="preserve">, 257-260</w:t>
      </w:r>
      <w:r>
        <w:rPr>
          <w:rFonts w:ascii="Times New Roman" w:hAnsi="Times New Roman"/>
          <w:sz w:val="24"/>
          <w:szCs w:val="24"/>
          <w:lang w:val="en-US"/>
        </w:rPr>
        <w:t xml:space="preserve">, </w:t>
      </w:r>
      <w:hyperlink r:id="rId26" w:history="1">
        <w:r>
          <w:rPr>
            <w:rStyle w:val="Hyperlink"/>
            <w:rFonts w:ascii="Times New Roman" w:hAnsi="Times New Roman"/>
            <w:color w:val="auto"/>
            <w:sz w:val="24"/>
            <w:szCs w:val="24"/>
            <w:u w:val="none"/>
          </w:rPr>
          <w:t xml:space="preserve">https://doi.org/10.1016/S0165-1765(99)00215-3</w:t>
        </w:r>
      </w:hyperlink>
    </w:p>
    <w:p>
      <w:pPr>
        <w:spacing w:after="120" w:line="360" w:lineRule="auto"/>
        <w:rPr>
          <w:rFonts w:ascii="Times New Roman" w:hAnsi="Times New Roman"/>
          <w:sz w:val="24"/>
          <w:szCs w:val="24"/>
        </w:rPr>
      </w:pPr>
      <w:r>
        <w:rPr>
          <w:rFonts w:ascii="Times New Roman" w:hAnsi="Times New Roman"/>
          <w:sz w:val="24"/>
          <w:szCs w:val="24"/>
          <w:lang w:val="en-US"/>
        </w:rPr>
        <w:t xml:space="preserve">Urzúa, C.M. (2011), Testing for Zipf’s law: a common pitfall, </w:t>
      </w:r>
      <w:r>
        <w:rPr>
          <w:rFonts w:ascii="Times New Roman" w:hAnsi="Times New Roman"/>
          <w:i/>
          <w:iCs/>
          <w:sz w:val="24"/>
          <w:szCs w:val="24"/>
          <w:lang w:val="en-US"/>
        </w:rPr>
        <w:t xml:space="preserve">Economics Letters</w:t>
      </w:r>
      <w:r>
        <w:rPr>
          <w:rFonts w:ascii="Times New Roman" w:hAnsi="Times New Roman"/>
          <w:sz w:val="24"/>
          <w:szCs w:val="24"/>
          <w:lang w:val="en-US"/>
        </w:rPr>
        <w:t xml:space="preserve">, 112, 254-255, </w:t>
      </w:r>
      <w:hyperlink r:id="rId27" w:history="1">
        <w:r>
          <w:rPr>
            <w:rStyle w:val="Hyperlink"/>
            <w:rFonts w:ascii="Times New Roman" w:hAnsi="Times New Roman"/>
            <w:color w:val="auto"/>
            <w:sz w:val="24"/>
            <w:szCs w:val="24"/>
            <w:u w:val="none"/>
          </w:rPr>
          <w:t xml:space="preserve">https://doi.org/10.1016/j.econlet.2011.05.049</w:t>
        </w:r>
      </w:hyperlink>
      <w:r>
        <w:rPr>
          <w:rFonts w:ascii="Times New Roman" w:hAnsi="Times New Roman"/>
          <w:sz w:val="24"/>
          <w:szCs w:val="24"/>
        </w:rPr>
        <w:t xml:space="preserve"> </w:t>
      </w:r>
    </w:p>
    <w:p>
      <w:pPr>
        <w:spacing w:after="120" w:line="360" w:lineRule="auto"/>
        <w:rPr>
          <w:rFonts w:ascii="Times New Roman" w:hAnsi="Times New Roman"/>
          <w:sz w:val="24"/>
          <w:szCs w:val="24"/>
          <w:lang w:val="en-US"/>
        </w:rPr>
      </w:pPr>
      <w:r>
        <w:rPr>
          <w:rFonts w:ascii="Times New Roman" w:hAnsi="Times New Roman"/>
          <w:color w:val="131413"/>
          <w:sz w:val="24"/>
          <w:szCs w:val="24"/>
          <w:lang w:val="en-US"/>
        </w:rPr>
        <w:t xml:space="preserve">Urzúa, C.M. (2020), </w:t>
      </w:r>
      <w:r>
        <w:rPr>
          <w:rFonts w:ascii="Times New Roman" w:hAnsi="Times New Roman"/>
          <w:sz w:val="24"/>
          <w:szCs w:val="24"/>
          <w:lang w:val="en-US"/>
        </w:rPr>
        <w:t xml:space="preserve">A simple test for power-law behavior, </w:t>
      </w:r>
      <w:r>
        <w:rPr>
          <w:rFonts w:ascii="Times New Roman" w:hAnsi="Times New Roman"/>
          <w:i/>
          <w:iCs/>
          <w:sz w:val="24"/>
          <w:szCs w:val="24"/>
          <w:lang w:val="en-US"/>
        </w:rPr>
        <w:t xml:space="preserve">Stata Journal</w:t>
      </w:r>
      <w:r>
        <w:rPr>
          <w:rFonts w:ascii="Times New Roman" w:hAnsi="Times New Roman"/>
          <w:sz w:val="24"/>
          <w:szCs w:val="24"/>
          <w:lang w:val="en-US"/>
        </w:rPr>
        <w:t xml:space="preserve">, 20, 604-612, </w:t>
      </w:r>
      <w:hyperlink r:id="rId28" w:history="1">
        <w:r>
          <w:rPr>
            <w:rStyle w:val="Hyperlink"/>
            <w:rFonts w:ascii="Times New Roman" w:hAnsi="Times New Roman"/>
            <w:color w:val="auto"/>
            <w:sz w:val="24"/>
            <w:szCs w:val="24"/>
            <w:u w:val="none"/>
          </w:rPr>
          <w:t xml:space="preserve">https://doi.org/10.1177/1536867X20953571</w:t>
        </w:r>
      </w:hyperlink>
    </w:p>
    <w:p>
      <w:pPr>
        <w:shd w:val="clear" w:color="auto" w:fill="FCFCFC"/>
        <w:spacing w:after="120" w:line="360" w:lineRule="auto"/>
        <w:rPr>
          <w:rFonts w:ascii="Times New Roman" w:hAnsi="Times New Roman"/>
          <w:color w:val="131413"/>
          <w:sz w:val="24"/>
          <w:szCs w:val="24"/>
          <w:lang w:val="en-US"/>
        </w:rPr>
      </w:pPr>
      <w:r>
        <w:rPr>
          <w:rFonts w:ascii="Times New Roman" w:hAnsi="Times New Roman"/>
          <w:color w:val="131413"/>
          <w:sz w:val="24"/>
          <w:szCs w:val="24"/>
          <w:lang w:val="en-US"/>
        </w:rPr>
        <w:t xml:space="preserve">Zipf, G. (1949), </w:t>
      </w:r>
      <w:r>
        <w:rPr>
          <w:rFonts w:ascii="Times New Roman" w:hAnsi="Times New Roman"/>
          <w:i/>
          <w:iCs/>
          <w:color w:val="131413"/>
          <w:sz w:val="24"/>
          <w:szCs w:val="24"/>
          <w:lang w:val="en-US"/>
        </w:rPr>
        <w:t xml:space="preserve">Human behavior and the principle of least effort</w:t>
      </w:r>
      <w:r>
        <w:rPr>
          <w:rFonts w:ascii="Times New Roman" w:hAnsi="Times New Roman"/>
          <w:color w:val="131413"/>
          <w:sz w:val="24"/>
          <w:szCs w:val="24"/>
          <w:lang w:val="en-US"/>
        </w:rPr>
        <w:t xml:space="preserve">, Cambridge: Addison-Wesley </w:t>
      </w:r>
    </w:p>
    <w:p>
      <w:pPr>
        <w:spacing w:line="360" w:lineRule="auto"/>
        <w:rPr>
          <w:rFonts w:ascii="Times New Roman" w:hAnsi="Times New Roman" w:eastAsia="Times New Roman"/>
          <w:bCs/>
          <w:color w:val="131413"/>
          <w:sz w:val="24"/>
          <w:szCs w:val="24"/>
          <w:lang w:val="en-US"/>
        </w:rPr>
      </w:pPr>
    </w:p>
    <w:p>
      <w:pPr>
        <w:keepNext/>
        <w:pageBreakBefore/>
        <w:spacing w:before="120" w:after="120" w:line="240" w:lineRule="auto"/>
        <w:jc w:val="center"/>
        <w:rPr>
          <w:rFonts w:ascii="Times New Roman" w:hAnsi="Times New Roman"/>
          <w:sz w:val="24"/>
          <w:szCs w:val="24"/>
          <w:lang w:val="en-US"/>
        </w:rPr>
      </w:pPr>
      <w:r>
        <w:rPr>
          <w:rFonts w:ascii="Times New Roman" w:hAnsi="Times New Roman"/>
          <w:b/>
          <w:sz w:val="24"/>
          <w:szCs w:val="24"/>
          <w:lang w:val="en-US"/>
        </w:rPr>
        <w:t xml:space="preserve">Table 1</w:t>
      </w:r>
    </w:p>
    <w:p>
      <w:pPr>
        <w:keepNext/>
        <w:spacing w:before="120" w:after="120" w:line="240" w:lineRule="auto"/>
        <w:jc w:val="center"/>
        <w:rPr>
          <w:rFonts w:ascii="Times New Roman" w:hAnsi="Times New Roman"/>
          <w:sz w:val="24"/>
          <w:szCs w:val="24"/>
          <w:lang w:val="en-US"/>
        </w:rPr>
      </w:pPr>
      <w:r>
        <w:rPr>
          <w:rFonts w:ascii="Times New Roman" w:hAnsi="Times New Roman"/>
          <w:b/>
          <w:sz w:val="24"/>
          <w:szCs w:val="24"/>
          <w:lang w:val="en-US"/>
        </w:rPr>
        <w:t xml:space="preserve">Lagrange multiplier tests (LM) for restricted Pareto type II distributions for the 1000 largest firms in Brazil – 1999–2024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4"/>
        <w:gridCol w:w="1502"/>
        <w:gridCol w:w="1381"/>
        <w:gridCol w:w="1242"/>
        <w:gridCol w:w="1564"/>
        <w:gridCol w:w="1285"/>
        <w:gridCol w:w="1137"/>
      </w:tblGrid>
      <w:tr>
        <w:trPr>
          <w:cantSplit/>
          <w:trHeight w:val="588" w:hRule="atLeast"/>
          <w:tblHeader/>
        </w:trPr>
        <w:tc>
          <w:tcPr>
            <w:tcW w:w="1124" w:type="dxa"/>
            <w:vMerge w:val="restart"/>
            <w:vAlign w:val="center"/>
          </w:tcPr>
          <w:p>
            <w:pPr>
              <w:pStyle w:val="Ttulo1"/>
              <w:spacing w:before="0" w:beforeAutospacing="0" w:after="0" w:afterAutospacing="0"/>
              <w:jc w:val="center"/>
              <w:rPr>
                <w:bCs w:val="0"/>
                <w:sz w:val="24"/>
                <w:szCs w:val="24"/>
                <w:lang w:val="en-US"/>
              </w:rPr>
            </w:pPr>
            <w:r>
              <w:rPr>
                <w:bCs w:val="0"/>
                <w:sz w:val="24"/>
                <w:szCs w:val="24"/>
                <w:lang w:val="en-US"/>
              </w:rPr>
              <w:t xml:space="preserve">Year</w:t>
            </w:r>
          </w:p>
        </w:tc>
        <w:tc>
          <w:tcPr>
            <w:tcW w:w="4391" w:type="dxa"/>
            <w:gridSpan w:val="3"/>
            <w:vAlign w:val="center"/>
          </w:tcPr>
          <w:p>
            <w:pPr>
              <w:pStyle w:val="Ttulo1"/>
              <w:spacing w:before="0" w:beforeAutospacing="0" w:after="0" w:afterAutospacing="0"/>
              <w:jc w:val="center"/>
              <w:rPr>
                <w:bCs w:val="0"/>
                <w:sz w:val="24"/>
                <w:szCs w:val="24"/>
                <w:lang w:val="en-US"/>
              </w:rPr>
            </w:pPr>
            <w:r>
              <w:rPr>
                <w:bCs w:val="0"/>
                <w:sz w:val="24"/>
                <w:szCs w:val="24"/>
                <w:lang w:val="en-US"/>
              </w:rPr>
              <w:t xml:space="preserve">LMp [H</w:t>
            </w:r>
            <w:r>
              <w:rPr>
                <w:bCs w:val="0"/>
                <w:sz w:val="24"/>
                <w:szCs w:val="24"/>
                <w:vertAlign w:val="subscript"/>
                <w:lang w:val="en-US"/>
              </w:rPr>
              <w:t xml:space="preserve">0</w:t>
            </w:r>
            <w:r>
              <w:rPr>
                <w:bCs w:val="0"/>
                <w:sz w:val="24"/>
                <w:szCs w:val="24"/>
                <w:lang w:val="en-US"/>
              </w:rPr>
              <w:t xml:space="preserve">: σ = </w:t>
            </w:r>
            <w:r>
              <w:rPr>
                <w:rFonts w:eastAsia="Arial"/>
                <w:bCs w:val="0"/>
                <w:sz w:val="24"/>
                <w:szCs w:val="24"/>
                <w:lang w:val="en-US"/>
              </w:rPr>
              <w:t xml:space="preserve">μ</w:t>
            </w:r>
            <w:r>
              <w:rPr>
                <w:bCs w:val="0"/>
                <w:sz w:val="24"/>
                <w:szCs w:val="24"/>
                <w:lang w:val="en-US"/>
              </w:rPr>
              <w:t xml:space="preserve">]</w:t>
            </w:r>
          </w:p>
        </w:tc>
        <w:tc>
          <w:tcPr>
            <w:tcW w:w="4221" w:type="dxa"/>
            <w:gridSpan w:val="3"/>
            <w:vAlign w:val="center"/>
          </w:tcPr>
          <w:p>
            <w:pPr>
              <w:pStyle w:val="Ttulo1"/>
              <w:spacing w:before="0" w:beforeAutospacing="0" w:after="0" w:afterAutospacing="0"/>
              <w:jc w:val="center"/>
              <w:rPr>
                <w:bCs w:val="0"/>
                <w:sz w:val="24"/>
                <w:szCs w:val="24"/>
                <w:lang w:val="en-US"/>
              </w:rPr>
            </w:pPr>
            <w:r>
              <w:rPr>
                <w:bCs w:val="0"/>
                <w:sz w:val="24"/>
                <w:szCs w:val="24"/>
                <w:lang w:val="en-US"/>
              </w:rPr>
              <w:t xml:space="preserve">LMz [H</w:t>
            </w:r>
            <w:r>
              <w:rPr>
                <w:bCs w:val="0"/>
                <w:sz w:val="24"/>
                <w:szCs w:val="24"/>
                <w:vertAlign w:val="subscript"/>
                <w:lang w:val="en-US"/>
              </w:rPr>
              <w:t xml:space="preserve">0</w:t>
            </w:r>
            <w:r>
              <w:rPr>
                <w:bCs w:val="0"/>
                <w:sz w:val="24"/>
                <w:szCs w:val="24"/>
                <w:lang w:val="en-US"/>
              </w:rPr>
              <w:t xml:space="preserve">: σ = </w:t>
            </w:r>
            <w:r>
              <w:rPr>
                <w:rFonts w:eastAsia="Arial"/>
                <w:bCs w:val="0"/>
                <w:sz w:val="24"/>
                <w:szCs w:val="24"/>
                <w:lang w:val="en-US"/>
              </w:rPr>
              <w:t xml:space="preserve">μ</w:t>
            </w:r>
            <w:r>
              <w:rPr>
                <w:bCs w:val="0"/>
                <w:sz w:val="24"/>
                <w:szCs w:val="24"/>
                <w:lang w:val="en-US"/>
              </w:rPr>
              <w:t xml:space="preserve"> , </w:t>
            </w:r>
            <w:r>
              <w:rPr>
                <w:rFonts w:eastAsia="Arial"/>
                <w:bCs w:val="0"/>
                <w:sz w:val="24"/>
                <w:szCs w:val="24"/>
                <w:lang w:val="en-US"/>
              </w:rPr>
              <w:t xml:space="preserve">α</w:t>
            </w:r>
            <w:r>
              <w:rPr>
                <w:bCs w:val="0"/>
                <w:sz w:val="24"/>
                <w:szCs w:val="24"/>
                <w:lang w:val="en-US"/>
              </w:rPr>
              <w:t xml:space="preserve"> = 1]</w:t>
            </w:r>
          </w:p>
        </w:tc>
      </w:tr>
      <w:tr>
        <w:trPr>
          <w:cantSplit/>
          <w:tblHeader/>
        </w:trPr>
        <w:tc>
          <w:tcPr>
            <w:tcW w:w="1124" w:type="dxa"/>
            <w:vMerge/>
          </w:tcPr>
          <w:p>
            <w:pPr>
              <w:pStyle w:val="Ttulo1"/>
              <w:spacing w:before="0" w:beforeAutospacing="0" w:after="240" w:afterAutospacing="0"/>
              <w:jc w:val="center"/>
              <w:rPr>
                <w:b w:val="0"/>
                <w:bCs w:val="0"/>
                <w:sz w:val="24"/>
                <w:szCs w:val="24"/>
              </w:rPr>
            </w:pPr>
          </w:p>
        </w:tc>
        <w:tc>
          <w:tcPr>
            <w:tcW w:w="1598"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test statistic</w:t>
            </w:r>
          </w:p>
        </w:tc>
        <w:tc>
          <w:tcPr>
            <w:tcW w:w="1466"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asy. p-value</w:t>
            </w:r>
          </w:p>
        </w:tc>
        <w:tc>
          <w:tcPr>
            <w:tcW w:w="1327"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boot. p-value</w:t>
            </w:r>
          </w:p>
        </w:tc>
        <w:tc>
          <w:tcPr>
            <w:tcW w:w="1663"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test statistic</w:t>
            </w:r>
          </w:p>
        </w:tc>
        <w:tc>
          <w:tcPr>
            <w:tcW w:w="1354"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asy. p-value</w:t>
            </w:r>
          </w:p>
        </w:tc>
        <w:tc>
          <w:tcPr>
            <w:tcW w:w="1204"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boot. p-value</w:t>
            </w:r>
          </w:p>
        </w:tc>
      </w:tr>
      <w:tr>
        <w:trPr>
          <w:cantSplit/>
        </w:trPr>
        <w:tc>
          <w:tcPr>
            <w:tcW w:w="1124"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1999</w:t>
            </w:r>
          </w:p>
        </w:tc>
        <w:tc>
          <w:tcPr>
            <w:tcW w:w="159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27.870</w:t>
            </w:r>
          </w:p>
        </w:tc>
        <w:tc>
          <w:tcPr>
            <w:tcW w:w="1466"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327"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0.001</w:t>
            </w:r>
          </w:p>
        </w:tc>
        <w:tc>
          <w:tcPr>
            <w:tcW w:w="1663"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64.895</w:t>
            </w:r>
          </w:p>
        </w:tc>
        <w:tc>
          <w:tcPr>
            <w:tcW w:w="1354"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20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r>
      <w:tr>
        <w:trPr>
          <w:cantSplit/>
        </w:trPr>
        <w:tc>
          <w:tcPr>
            <w:tcW w:w="1124"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2000</w:t>
            </w:r>
          </w:p>
        </w:tc>
        <w:tc>
          <w:tcPr>
            <w:tcW w:w="159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31.541</w:t>
            </w:r>
          </w:p>
        </w:tc>
        <w:tc>
          <w:tcPr>
            <w:tcW w:w="1466"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327"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0.001</w:t>
            </w:r>
          </w:p>
        </w:tc>
        <w:tc>
          <w:tcPr>
            <w:tcW w:w="1663"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51.325</w:t>
            </w:r>
          </w:p>
        </w:tc>
        <w:tc>
          <w:tcPr>
            <w:tcW w:w="1354"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20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r>
      <w:tr>
        <w:trPr>
          <w:cantSplit/>
        </w:trPr>
        <w:tc>
          <w:tcPr>
            <w:tcW w:w="1124"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2001</w:t>
            </w:r>
          </w:p>
        </w:tc>
        <w:tc>
          <w:tcPr>
            <w:tcW w:w="159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24.685</w:t>
            </w:r>
          </w:p>
        </w:tc>
        <w:tc>
          <w:tcPr>
            <w:tcW w:w="1466"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327"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0.001</w:t>
            </w:r>
          </w:p>
        </w:tc>
        <w:tc>
          <w:tcPr>
            <w:tcW w:w="1663"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35.554</w:t>
            </w:r>
          </w:p>
        </w:tc>
        <w:tc>
          <w:tcPr>
            <w:tcW w:w="1354"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20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r>
      <w:tr>
        <w:trPr>
          <w:cantSplit/>
        </w:trPr>
        <w:tc>
          <w:tcPr>
            <w:tcW w:w="1124"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2002</w:t>
            </w:r>
          </w:p>
        </w:tc>
        <w:tc>
          <w:tcPr>
            <w:tcW w:w="159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34.206</w:t>
            </w:r>
          </w:p>
        </w:tc>
        <w:tc>
          <w:tcPr>
            <w:tcW w:w="1466"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327"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0.001</w:t>
            </w:r>
          </w:p>
        </w:tc>
        <w:tc>
          <w:tcPr>
            <w:tcW w:w="1663"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55.244</w:t>
            </w:r>
          </w:p>
        </w:tc>
        <w:tc>
          <w:tcPr>
            <w:tcW w:w="1354"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20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r>
      <w:tr>
        <w:trPr>
          <w:cantSplit/>
        </w:trPr>
        <w:tc>
          <w:tcPr>
            <w:tcW w:w="1124"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2003</w:t>
            </w:r>
          </w:p>
        </w:tc>
        <w:tc>
          <w:tcPr>
            <w:tcW w:w="159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23.200</w:t>
            </w:r>
          </w:p>
        </w:tc>
        <w:tc>
          <w:tcPr>
            <w:tcW w:w="1466"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327"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0.001</w:t>
            </w:r>
          </w:p>
        </w:tc>
        <w:tc>
          <w:tcPr>
            <w:tcW w:w="1663"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44.346</w:t>
            </w:r>
          </w:p>
        </w:tc>
        <w:tc>
          <w:tcPr>
            <w:tcW w:w="1354"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20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r>
      <w:tr>
        <w:trPr>
          <w:cantSplit/>
          <w:trHeight w:val="197" w:hRule="atLeast"/>
        </w:trPr>
        <w:tc>
          <w:tcPr>
            <w:tcW w:w="1124"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2004</w:t>
            </w:r>
          </w:p>
        </w:tc>
        <w:tc>
          <w:tcPr>
            <w:tcW w:w="159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15.632</w:t>
            </w:r>
          </w:p>
        </w:tc>
        <w:tc>
          <w:tcPr>
            <w:tcW w:w="1466"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327"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0.001</w:t>
            </w:r>
          </w:p>
        </w:tc>
        <w:tc>
          <w:tcPr>
            <w:tcW w:w="1663"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33.384</w:t>
            </w:r>
          </w:p>
        </w:tc>
        <w:tc>
          <w:tcPr>
            <w:tcW w:w="1354"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20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r>
      <w:tr>
        <w:trPr>
          <w:cantSplit/>
        </w:trPr>
        <w:tc>
          <w:tcPr>
            <w:tcW w:w="1124"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2005</w:t>
            </w:r>
          </w:p>
        </w:tc>
        <w:tc>
          <w:tcPr>
            <w:tcW w:w="159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8.084</w:t>
            </w:r>
          </w:p>
        </w:tc>
        <w:tc>
          <w:tcPr>
            <w:tcW w:w="1466"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0.004</w:t>
            </w:r>
          </w:p>
        </w:tc>
        <w:tc>
          <w:tcPr>
            <w:tcW w:w="1327"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0.002</w:t>
            </w:r>
          </w:p>
        </w:tc>
        <w:tc>
          <w:tcPr>
            <w:tcW w:w="1663"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21.541</w:t>
            </w:r>
          </w:p>
        </w:tc>
        <w:tc>
          <w:tcPr>
            <w:tcW w:w="1354"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20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r>
      <w:tr>
        <w:trPr>
          <w:cantSplit/>
        </w:trPr>
        <w:tc>
          <w:tcPr>
            <w:tcW w:w="1124"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2006</w:t>
            </w:r>
          </w:p>
        </w:tc>
        <w:tc>
          <w:tcPr>
            <w:tcW w:w="159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10.534</w:t>
            </w:r>
          </w:p>
        </w:tc>
        <w:tc>
          <w:tcPr>
            <w:tcW w:w="1466"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c>
          <w:tcPr>
            <w:tcW w:w="1327"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0.003</w:t>
            </w:r>
          </w:p>
        </w:tc>
        <w:tc>
          <w:tcPr>
            <w:tcW w:w="1663"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20.956</w:t>
            </w:r>
          </w:p>
        </w:tc>
        <w:tc>
          <w:tcPr>
            <w:tcW w:w="1354"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20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r>
      <w:tr>
        <w:trPr>
          <w:cantSplit/>
        </w:trPr>
        <w:tc>
          <w:tcPr>
            <w:tcW w:w="1124"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2007</w:t>
            </w:r>
          </w:p>
        </w:tc>
        <w:tc>
          <w:tcPr>
            <w:tcW w:w="159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12.745</w:t>
            </w:r>
          </w:p>
        </w:tc>
        <w:tc>
          <w:tcPr>
            <w:tcW w:w="1466"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327"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0.001</w:t>
            </w:r>
          </w:p>
        </w:tc>
        <w:tc>
          <w:tcPr>
            <w:tcW w:w="1663" w:type="dxa"/>
            <w:vAlign w:val="center"/>
          </w:tcPr>
          <w:p>
            <w:pPr>
              <w:spacing w:after="0" w:line="240" w:lineRule="auto"/>
              <w:jc w:val="center"/>
              <w:rPr>
                <w:rFonts w:ascii="Times New Roman" w:hAnsi="Times New Roman"/>
                <w:bCs/>
                <w:sz w:val="24"/>
                <w:szCs w:val="24"/>
                <w:lang w:val="en-US"/>
              </w:rPr>
            </w:pPr>
            <w:r>
              <w:rPr>
                <w:rFonts w:ascii="Times New Roman" w:hAnsi="Times New Roman"/>
                <w:bCs/>
                <w:sz w:val="24"/>
                <w:szCs w:val="24"/>
                <w:lang w:val="en-US"/>
              </w:rPr>
              <w:t xml:space="preserve">27.074</w:t>
            </w:r>
          </w:p>
        </w:tc>
        <w:tc>
          <w:tcPr>
            <w:tcW w:w="1354"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20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r>
      <w:tr>
        <w:trPr>
          <w:cantSplit/>
        </w:trPr>
        <w:tc>
          <w:tcPr>
            <w:tcW w:w="1124"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2008</w:t>
            </w:r>
          </w:p>
        </w:tc>
        <w:tc>
          <w:tcPr>
            <w:tcW w:w="159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7.165</w:t>
            </w:r>
          </w:p>
        </w:tc>
        <w:tc>
          <w:tcPr>
            <w:tcW w:w="1466"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0.007</w:t>
            </w:r>
          </w:p>
        </w:tc>
        <w:tc>
          <w:tcPr>
            <w:tcW w:w="1327"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0.008</w:t>
            </w:r>
          </w:p>
        </w:tc>
        <w:tc>
          <w:tcPr>
            <w:tcW w:w="1663"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16.866</w:t>
            </w:r>
          </w:p>
        </w:tc>
        <w:tc>
          <w:tcPr>
            <w:tcW w:w="1354"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20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r>
      <w:tr>
        <w:trPr>
          <w:cantSplit/>
        </w:trPr>
        <w:tc>
          <w:tcPr>
            <w:tcW w:w="1124"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2009</w:t>
            </w:r>
          </w:p>
        </w:tc>
        <w:tc>
          <w:tcPr>
            <w:tcW w:w="159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10.305</w:t>
            </w:r>
          </w:p>
        </w:tc>
        <w:tc>
          <w:tcPr>
            <w:tcW w:w="1466"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c>
          <w:tcPr>
            <w:tcW w:w="1327"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0.005</w:t>
            </w:r>
          </w:p>
        </w:tc>
        <w:tc>
          <w:tcPr>
            <w:tcW w:w="1663"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20.231</w:t>
            </w:r>
          </w:p>
        </w:tc>
        <w:tc>
          <w:tcPr>
            <w:tcW w:w="1354"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20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r>
      <w:tr>
        <w:trPr>
          <w:cantSplit/>
        </w:trPr>
        <w:tc>
          <w:tcPr>
            <w:tcW w:w="1124"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2010</w:t>
            </w:r>
          </w:p>
        </w:tc>
        <w:tc>
          <w:tcPr>
            <w:tcW w:w="159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20.807</w:t>
            </w:r>
          </w:p>
        </w:tc>
        <w:tc>
          <w:tcPr>
            <w:tcW w:w="1466"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327"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0.001</w:t>
            </w:r>
          </w:p>
        </w:tc>
        <w:tc>
          <w:tcPr>
            <w:tcW w:w="1663"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67.855</w:t>
            </w:r>
          </w:p>
        </w:tc>
        <w:tc>
          <w:tcPr>
            <w:tcW w:w="1354"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20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r>
      <w:tr>
        <w:trPr>
          <w:cantSplit/>
        </w:trPr>
        <w:tc>
          <w:tcPr>
            <w:tcW w:w="1124"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2011</w:t>
            </w:r>
          </w:p>
        </w:tc>
        <w:tc>
          <w:tcPr>
            <w:tcW w:w="1598" w:type="dxa"/>
            <w:vAlign w:val="center"/>
          </w:tcPr>
          <w:p>
            <w:pPr>
              <w:pStyle w:val="Ttulo1"/>
              <w:spacing w:before="0" w:beforeAutospacing="0" w:after="0" w:afterAutospacing="0"/>
              <w:jc w:val="center"/>
              <w:rPr>
                <w:b w:val="0"/>
                <w:bCs w:val="0"/>
                <w:color w:val="000000"/>
                <w:sz w:val="24"/>
                <w:szCs w:val="24"/>
                <w:lang w:val="en-US"/>
              </w:rPr>
            </w:pPr>
            <w:r>
              <w:rPr>
                <w:b w:val="0"/>
                <w:bCs w:val="0"/>
                <w:color w:val="000000"/>
                <w:sz w:val="24"/>
                <w:szCs w:val="24"/>
                <w:lang w:val="en-US"/>
              </w:rPr>
              <w:t xml:space="preserve">15.194</w:t>
            </w:r>
          </w:p>
        </w:tc>
        <w:tc>
          <w:tcPr>
            <w:tcW w:w="1466" w:type="dxa"/>
            <w:vAlign w:val="center"/>
          </w:tcPr>
          <w:p>
            <w:pPr>
              <w:spacing w:after="0"/>
              <w:jc w:val="center"/>
              <w:rPr>
                <w:rFonts w:ascii="Times New Roman" w:hAnsi="Times New Roman"/>
                <w:color w:val="000000"/>
                <w:sz w:val="24"/>
                <w:szCs w:val="24"/>
              </w:rPr>
            </w:pPr>
            <w:r>
              <w:rPr>
                <w:rFonts w:ascii="Times New Roman" w:hAnsi="Times New Roman"/>
                <w:color w:val="000000"/>
                <w:sz w:val="24"/>
                <w:szCs w:val="24"/>
              </w:rPr>
              <w:t xml:space="preserve">&lt;0.001</w:t>
            </w:r>
          </w:p>
        </w:tc>
        <w:tc>
          <w:tcPr>
            <w:tcW w:w="1327" w:type="dxa"/>
            <w:vAlign w:val="center"/>
          </w:tcPr>
          <w:p>
            <w:pPr>
              <w:spacing w:after="0" w:line="240" w:lineRule="auto"/>
              <w:jc w:val="center"/>
              <w:rPr>
                <w:rFonts w:ascii="Times New Roman" w:hAnsi="Times New Roman"/>
                <w:color w:val="000000"/>
                <w:sz w:val="24"/>
                <w:szCs w:val="24"/>
                <w:lang w:val="en-US"/>
              </w:rPr>
            </w:pPr>
            <w:r>
              <w:rPr>
                <w:rFonts w:ascii="Times New Roman" w:hAnsi="Times New Roman"/>
                <w:color w:val="000000"/>
                <w:sz w:val="24"/>
                <w:szCs w:val="24"/>
                <w:lang w:val="en-US"/>
              </w:rPr>
              <w:t xml:space="preserve">0.001</w:t>
            </w:r>
          </w:p>
        </w:tc>
        <w:tc>
          <w:tcPr>
            <w:tcW w:w="1663" w:type="dxa"/>
            <w:vAlign w:val="center"/>
          </w:tcPr>
          <w:p>
            <w:pPr>
              <w:spacing w:after="0" w:line="240" w:lineRule="auto"/>
              <w:jc w:val="center"/>
              <w:rPr>
                <w:rFonts w:ascii="Times New Roman" w:hAnsi="Times New Roman"/>
                <w:color w:val="000000"/>
                <w:sz w:val="24"/>
                <w:szCs w:val="24"/>
                <w:lang w:val="en-US"/>
              </w:rPr>
            </w:pPr>
            <w:r>
              <w:rPr>
                <w:rFonts w:ascii="Times New Roman" w:hAnsi="Times New Roman"/>
                <w:color w:val="000000"/>
                <w:sz w:val="24"/>
                <w:szCs w:val="24"/>
                <w:lang w:val="en-US"/>
              </w:rPr>
              <w:t xml:space="preserve">59.068</w:t>
            </w:r>
          </w:p>
        </w:tc>
        <w:tc>
          <w:tcPr>
            <w:tcW w:w="1354"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20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r>
      <w:tr>
        <w:trPr>
          <w:cantSplit/>
        </w:trPr>
        <w:tc>
          <w:tcPr>
            <w:tcW w:w="1124"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2012</w:t>
            </w:r>
          </w:p>
        </w:tc>
        <w:tc>
          <w:tcPr>
            <w:tcW w:w="1598" w:type="dxa"/>
            <w:vAlign w:val="center"/>
          </w:tcPr>
          <w:p>
            <w:pPr>
              <w:pStyle w:val="Ttulo1"/>
              <w:spacing w:before="0" w:beforeAutospacing="0" w:after="0" w:afterAutospacing="0"/>
              <w:jc w:val="center"/>
              <w:rPr>
                <w:b w:val="0"/>
                <w:bCs w:val="0"/>
                <w:color w:val="000000"/>
                <w:sz w:val="24"/>
                <w:szCs w:val="24"/>
                <w:lang w:val="en-US"/>
              </w:rPr>
            </w:pPr>
            <w:r>
              <w:rPr>
                <w:b w:val="0"/>
                <w:bCs w:val="0"/>
                <w:color w:val="000000"/>
                <w:sz w:val="24"/>
                <w:szCs w:val="24"/>
                <w:lang w:val="en-US"/>
              </w:rPr>
              <w:t xml:space="preserve">18.589</w:t>
            </w:r>
          </w:p>
        </w:tc>
        <w:tc>
          <w:tcPr>
            <w:tcW w:w="1466" w:type="dxa"/>
            <w:vAlign w:val="center"/>
          </w:tcPr>
          <w:p>
            <w:pPr>
              <w:spacing w:after="0"/>
              <w:jc w:val="center"/>
              <w:rPr>
                <w:rFonts w:ascii="Times New Roman" w:hAnsi="Times New Roman"/>
                <w:color w:val="000000"/>
                <w:sz w:val="24"/>
                <w:szCs w:val="24"/>
              </w:rPr>
            </w:pPr>
            <w:r>
              <w:rPr>
                <w:rFonts w:ascii="Times New Roman" w:hAnsi="Times New Roman"/>
                <w:color w:val="000000"/>
                <w:sz w:val="24"/>
                <w:szCs w:val="24"/>
              </w:rPr>
              <w:t xml:space="preserve">&lt;0.001</w:t>
            </w:r>
          </w:p>
        </w:tc>
        <w:tc>
          <w:tcPr>
            <w:tcW w:w="1327" w:type="dxa"/>
            <w:vAlign w:val="center"/>
          </w:tcPr>
          <w:p>
            <w:pPr>
              <w:spacing w:after="0" w:line="240" w:lineRule="auto"/>
              <w:jc w:val="center"/>
              <w:rPr>
                <w:rFonts w:ascii="Times New Roman" w:hAnsi="Times New Roman"/>
                <w:color w:val="000000"/>
                <w:sz w:val="24"/>
                <w:szCs w:val="24"/>
                <w:lang w:val="en-US"/>
              </w:rPr>
            </w:pPr>
            <w:r>
              <w:rPr>
                <w:rFonts w:ascii="Times New Roman" w:hAnsi="Times New Roman"/>
                <w:color w:val="000000"/>
                <w:sz w:val="24"/>
                <w:szCs w:val="24"/>
                <w:lang w:val="en-US"/>
              </w:rPr>
              <w:t xml:space="preserve">0.001</w:t>
            </w:r>
          </w:p>
        </w:tc>
        <w:tc>
          <w:tcPr>
            <w:tcW w:w="1663" w:type="dxa"/>
            <w:vAlign w:val="center"/>
          </w:tcPr>
          <w:p>
            <w:pPr>
              <w:spacing w:after="0" w:line="240" w:lineRule="auto"/>
              <w:jc w:val="center"/>
              <w:rPr>
                <w:rFonts w:ascii="Times New Roman" w:hAnsi="Times New Roman"/>
                <w:color w:val="000000"/>
                <w:sz w:val="24"/>
                <w:szCs w:val="24"/>
                <w:lang w:val="en-US"/>
              </w:rPr>
            </w:pPr>
            <w:r>
              <w:rPr>
                <w:rFonts w:ascii="Times New Roman" w:hAnsi="Times New Roman"/>
                <w:color w:val="000000"/>
                <w:sz w:val="24"/>
                <w:szCs w:val="24"/>
                <w:lang w:val="en-US"/>
              </w:rPr>
              <w:t xml:space="preserve">52.522</w:t>
            </w:r>
          </w:p>
        </w:tc>
        <w:tc>
          <w:tcPr>
            <w:tcW w:w="1354"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20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r>
      <w:tr>
        <w:trPr>
          <w:cantSplit/>
        </w:trPr>
        <w:tc>
          <w:tcPr>
            <w:tcW w:w="1124"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2013</w:t>
            </w:r>
          </w:p>
        </w:tc>
        <w:tc>
          <w:tcPr>
            <w:tcW w:w="1598" w:type="dxa"/>
            <w:vAlign w:val="center"/>
          </w:tcPr>
          <w:p>
            <w:pPr>
              <w:pStyle w:val="Ttulo1"/>
              <w:spacing w:before="0" w:beforeAutospacing="0" w:after="0" w:afterAutospacing="0"/>
              <w:jc w:val="center"/>
              <w:rPr>
                <w:b w:val="0"/>
                <w:bCs w:val="0"/>
                <w:color w:val="000000"/>
                <w:sz w:val="24"/>
                <w:szCs w:val="24"/>
                <w:lang w:val="en-US"/>
              </w:rPr>
            </w:pPr>
            <w:r>
              <w:rPr>
                <w:b w:val="0"/>
                <w:bCs w:val="0"/>
                <w:color w:val="000000"/>
                <w:sz w:val="24"/>
                <w:szCs w:val="24"/>
                <w:lang w:val="en-US"/>
              </w:rPr>
              <w:t xml:space="preserve">23.962</w:t>
            </w:r>
          </w:p>
        </w:tc>
        <w:tc>
          <w:tcPr>
            <w:tcW w:w="1466" w:type="dxa"/>
            <w:vAlign w:val="center"/>
          </w:tcPr>
          <w:p>
            <w:pPr>
              <w:spacing w:after="0"/>
              <w:jc w:val="center"/>
              <w:rPr>
                <w:rFonts w:ascii="Times New Roman" w:hAnsi="Times New Roman"/>
                <w:color w:val="000000"/>
                <w:sz w:val="24"/>
                <w:szCs w:val="24"/>
              </w:rPr>
            </w:pPr>
            <w:r>
              <w:rPr>
                <w:rFonts w:ascii="Times New Roman" w:hAnsi="Times New Roman"/>
                <w:color w:val="000000"/>
                <w:sz w:val="24"/>
                <w:szCs w:val="24"/>
              </w:rPr>
              <w:t xml:space="preserve">&lt;0.001</w:t>
            </w:r>
          </w:p>
        </w:tc>
        <w:tc>
          <w:tcPr>
            <w:tcW w:w="1327" w:type="dxa"/>
            <w:vAlign w:val="center"/>
          </w:tcPr>
          <w:p>
            <w:pPr>
              <w:spacing w:after="0" w:line="240" w:lineRule="auto"/>
              <w:jc w:val="center"/>
              <w:rPr>
                <w:rFonts w:ascii="Times New Roman" w:hAnsi="Times New Roman"/>
                <w:color w:val="000000"/>
                <w:sz w:val="24"/>
                <w:szCs w:val="24"/>
                <w:lang w:val="en-US"/>
              </w:rPr>
            </w:pPr>
            <w:r>
              <w:rPr>
                <w:rFonts w:ascii="Times New Roman" w:hAnsi="Times New Roman"/>
                <w:color w:val="000000"/>
                <w:sz w:val="24"/>
                <w:szCs w:val="24"/>
                <w:lang w:val="en-US"/>
              </w:rPr>
              <w:t xml:space="preserve">0.001</w:t>
            </w:r>
          </w:p>
        </w:tc>
        <w:tc>
          <w:tcPr>
            <w:tcW w:w="1663" w:type="dxa"/>
            <w:vAlign w:val="center"/>
          </w:tcPr>
          <w:p>
            <w:pPr>
              <w:spacing w:after="0" w:line="240" w:lineRule="auto"/>
              <w:jc w:val="center"/>
              <w:rPr>
                <w:rFonts w:ascii="Times New Roman" w:hAnsi="Times New Roman"/>
                <w:color w:val="000000"/>
                <w:sz w:val="24"/>
                <w:szCs w:val="24"/>
                <w:lang w:val="en-US"/>
              </w:rPr>
            </w:pPr>
            <w:r>
              <w:rPr>
                <w:rFonts w:ascii="Times New Roman" w:hAnsi="Times New Roman"/>
                <w:color w:val="000000"/>
                <w:sz w:val="24"/>
                <w:szCs w:val="24"/>
                <w:lang w:val="en-US"/>
              </w:rPr>
              <w:t xml:space="preserve">71.820</w:t>
            </w:r>
          </w:p>
        </w:tc>
        <w:tc>
          <w:tcPr>
            <w:tcW w:w="1354"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20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r>
      <w:tr>
        <w:trPr>
          <w:cantSplit/>
        </w:trPr>
        <w:tc>
          <w:tcPr>
            <w:tcW w:w="1124"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2014</w:t>
            </w:r>
          </w:p>
        </w:tc>
        <w:tc>
          <w:tcPr>
            <w:tcW w:w="1598" w:type="dxa"/>
            <w:vAlign w:val="center"/>
          </w:tcPr>
          <w:p>
            <w:pPr>
              <w:pStyle w:val="Ttulo1"/>
              <w:spacing w:before="0" w:beforeAutospacing="0" w:after="0" w:afterAutospacing="0"/>
              <w:jc w:val="center"/>
              <w:rPr>
                <w:b w:val="0"/>
                <w:bCs w:val="0"/>
                <w:color w:val="000000"/>
                <w:sz w:val="24"/>
                <w:szCs w:val="24"/>
                <w:lang w:val="en-US"/>
              </w:rPr>
            </w:pPr>
            <w:r>
              <w:rPr>
                <w:b w:val="0"/>
                <w:bCs w:val="0"/>
                <w:color w:val="000000"/>
                <w:sz w:val="24"/>
                <w:szCs w:val="24"/>
                <w:lang w:val="en-US"/>
              </w:rPr>
              <w:t xml:space="preserve">29.130</w:t>
            </w:r>
          </w:p>
        </w:tc>
        <w:tc>
          <w:tcPr>
            <w:tcW w:w="1466" w:type="dxa"/>
            <w:vAlign w:val="center"/>
          </w:tcPr>
          <w:p>
            <w:pPr>
              <w:spacing w:after="0"/>
              <w:jc w:val="center"/>
              <w:rPr>
                <w:rFonts w:ascii="Times New Roman" w:hAnsi="Times New Roman"/>
                <w:color w:val="000000"/>
                <w:sz w:val="24"/>
                <w:szCs w:val="24"/>
              </w:rPr>
            </w:pPr>
            <w:r>
              <w:rPr>
                <w:rFonts w:ascii="Times New Roman" w:hAnsi="Times New Roman"/>
                <w:color w:val="000000"/>
                <w:sz w:val="24"/>
                <w:szCs w:val="24"/>
              </w:rPr>
              <w:t xml:space="preserve">&lt;0.001</w:t>
            </w:r>
          </w:p>
        </w:tc>
        <w:tc>
          <w:tcPr>
            <w:tcW w:w="1327" w:type="dxa"/>
            <w:vAlign w:val="center"/>
          </w:tcPr>
          <w:p>
            <w:pPr>
              <w:spacing w:after="0" w:line="240" w:lineRule="auto"/>
              <w:jc w:val="center"/>
              <w:rPr>
                <w:rFonts w:ascii="Times New Roman" w:hAnsi="Times New Roman"/>
                <w:color w:val="000000"/>
                <w:sz w:val="24"/>
                <w:szCs w:val="24"/>
                <w:lang w:val="en-US"/>
              </w:rPr>
            </w:pPr>
            <w:r>
              <w:rPr>
                <w:rFonts w:ascii="Times New Roman" w:hAnsi="Times New Roman"/>
                <w:color w:val="000000"/>
                <w:sz w:val="24"/>
                <w:szCs w:val="24"/>
                <w:lang w:val="en-US"/>
              </w:rPr>
              <w:t xml:space="preserve">0.001</w:t>
            </w:r>
          </w:p>
        </w:tc>
        <w:tc>
          <w:tcPr>
            <w:tcW w:w="1663" w:type="dxa"/>
            <w:vAlign w:val="center"/>
          </w:tcPr>
          <w:p>
            <w:pPr>
              <w:spacing w:after="0" w:line="240" w:lineRule="auto"/>
              <w:jc w:val="center"/>
              <w:rPr>
                <w:rFonts w:ascii="Times New Roman" w:hAnsi="Times New Roman"/>
                <w:color w:val="000000"/>
                <w:sz w:val="24"/>
                <w:szCs w:val="24"/>
                <w:lang w:val="en-US"/>
              </w:rPr>
            </w:pPr>
            <w:r>
              <w:rPr>
                <w:rFonts w:ascii="Times New Roman" w:hAnsi="Times New Roman"/>
                <w:color w:val="000000"/>
                <w:sz w:val="24"/>
                <w:szCs w:val="24"/>
                <w:lang w:val="en-US"/>
              </w:rPr>
              <w:t xml:space="preserve">79.676</w:t>
            </w:r>
          </w:p>
        </w:tc>
        <w:tc>
          <w:tcPr>
            <w:tcW w:w="1354"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20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r>
      <w:tr>
        <w:trPr>
          <w:cantSplit/>
        </w:trPr>
        <w:tc>
          <w:tcPr>
            <w:tcW w:w="1124"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2015</w:t>
            </w:r>
          </w:p>
        </w:tc>
        <w:tc>
          <w:tcPr>
            <w:tcW w:w="1598" w:type="dxa"/>
            <w:vAlign w:val="center"/>
          </w:tcPr>
          <w:p>
            <w:pPr>
              <w:pStyle w:val="Ttulo1"/>
              <w:spacing w:before="0" w:beforeAutospacing="0" w:after="0" w:afterAutospacing="0"/>
              <w:jc w:val="center"/>
              <w:rPr>
                <w:b w:val="0"/>
                <w:bCs w:val="0"/>
                <w:color w:val="000000"/>
                <w:sz w:val="24"/>
                <w:szCs w:val="24"/>
                <w:lang w:val="en-US"/>
              </w:rPr>
            </w:pPr>
            <w:r>
              <w:rPr>
                <w:b w:val="0"/>
                <w:bCs w:val="0"/>
                <w:color w:val="000000"/>
                <w:sz w:val="24"/>
                <w:szCs w:val="24"/>
                <w:lang w:val="en-US"/>
              </w:rPr>
              <w:t xml:space="preserve">31.692</w:t>
            </w:r>
          </w:p>
        </w:tc>
        <w:tc>
          <w:tcPr>
            <w:tcW w:w="1466" w:type="dxa"/>
            <w:vAlign w:val="center"/>
          </w:tcPr>
          <w:p>
            <w:pPr>
              <w:spacing w:after="0"/>
              <w:jc w:val="center"/>
              <w:rPr>
                <w:rFonts w:ascii="Times New Roman" w:hAnsi="Times New Roman"/>
                <w:color w:val="000000"/>
                <w:sz w:val="24"/>
                <w:szCs w:val="24"/>
              </w:rPr>
            </w:pPr>
            <w:r>
              <w:rPr>
                <w:rFonts w:ascii="Times New Roman" w:hAnsi="Times New Roman"/>
                <w:color w:val="000000"/>
                <w:sz w:val="24"/>
                <w:szCs w:val="24"/>
              </w:rPr>
              <w:t xml:space="preserve">&lt;0.001</w:t>
            </w:r>
          </w:p>
        </w:tc>
        <w:tc>
          <w:tcPr>
            <w:tcW w:w="1327" w:type="dxa"/>
            <w:vAlign w:val="center"/>
          </w:tcPr>
          <w:p>
            <w:pPr>
              <w:spacing w:after="0" w:line="240" w:lineRule="auto"/>
              <w:jc w:val="center"/>
              <w:rPr>
                <w:rFonts w:ascii="Times New Roman" w:hAnsi="Times New Roman"/>
                <w:color w:val="000000"/>
                <w:sz w:val="24"/>
                <w:szCs w:val="24"/>
                <w:lang w:val="en-US"/>
              </w:rPr>
            </w:pPr>
            <w:r>
              <w:rPr>
                <w:rFonts w:ascii="Times New Roman" w:hAnsi="Times New Roman"/>
                <w:color w:val="000000"/>
                <w:sz w:val="24"/>
                <w:szCs w:val="24"/>
                <w:lang w:val="en-US"/>
              </w:rPr>
              <w:t xml:space="preserve">0.001</w:t>
            </w:r>
          </w:p>
        </w:tc>
        <w:tc>
          <w:tcPr>
            <w:tcW w:w="1663" w:type="dxa"/>
            <w:vAlign w:val="center"/>
          </w:tcPr>
          <w:p>
            <w:pPr>
              <w:spacing w:after="0" w:line="240" w:lineRule="auto"/>
              <w:jc w:val="center"/>
              <w:rPr>
                <w:rFonts w:ascii="Times New Roman" w:hAnsi="Times New Roman"/>
                <w:color w:val="000000"/>
                <w:sz w:val="24"/>
                <w:szCs w:val="24"/>
                <w:lang w:val="en-US"/>
              </w:rPr>
            </w:pPr>
            <w:r>
              <w:rPr>
                <w:rFonts w:ascii="Times New Roman" w:hAnsi="Times New Roman"/>
                <w:color w:val="000000"/>
                <w:sz w:val="24"/>
                <w:szCs w:val="24"/>
                <w:lang w:val="en-US"/>
              </w:rPr>
              <w:t xml:space="preserve">88.075</w:t>
            </w:r>
          </w:p>
        </w:tc>
        <w:tc>
          <w:tcPr>
            <w:tcW w:w="1354"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20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r>
      <w:tr>
        <w:trPr>
          <w:cantSplit/>
          <w:trHeight w:val="20" w:hRule="atLeast"/>
        </w:trPr>
        <w:tc>
          <w:tcPr>
            <w:tcW w:w="1124"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2016</w:t>
            </w:r>
          </w:p>
        </w:tc>
        <w:tc>
          <w:tcPr>
            <w:tcW w:w="1598" w:type="dxa"/>
            <w:vAlign w:val="center"/>
          </w:tcPr>
          <w:p>
            <w:pPr>
              <w:pStyle w:val="Ttulo1"/>
              <w:spacing w:before="0" w:beforeAutospacing="0" w:after="0" w:afterAutospacing="0"/>
              <w:jc w:val="center"/>
              <w:rPr>
                <w:b w:val="0"/>
                <w:bCs w:val="0"/>
                <w:color w:val="000000"/>
                <w:sz w:val="24"/>
                <w:szCs w:val="24"/>
                <w:lang w:val="en-US"/>
              </w:rPr>
            </w:pPr>
            <w:r>
              <w:rPr>
                <w:b w:val="0"/>
                <w:bCs w:val="0"/>
                <w:color w:val="000000"/>
                <w:sz w:val="24"/>
                <w:szCs w:val="24"/>
                <w:lang w:val="en-US"/>
              </w:rPr>
              <w:t xml:space="preserve">20.896</w:t>
            </w:r>
          </w:p>
        </w:tc>
        <w:tc>
          <w:tcPr>
            <w:tcW w:w="1466" w:type="dxa"/>
            <w:vAlign w:val="center"/>
          </w:tcPr>
          <w:p>
            <w:pPr>
              <w:spacing w:after="0"/>
              <w:jc w:val="center"/>
              <w:rPr>
                <w:rFonts w:ascii="Times New Roman" w:hAnsi="Times New Roman"/>
                <w:color w:val="000000"/>
                <w:sz w:val="24"/>
                <w:szCs w:val="24"/>
              </w:rPr>
            </w:pPr>
            <w:r>
              <w:rPr>
                <w:rFonts w:ascii="Times New Roman" w:hAnsi="Times New Roman"/>
                <w:color w:val="000000"/>
                <w:sz w:val="24"/>
                <w:szCs w:val="24"/>
              </w:rPr>
              <w:t xml:space="preserve">&lt;0.001</w:t>
            </w:r>
          </w:p>
        </w:tc>
        <w:tc>
          <w:tcPr>
            <w:tcW w:w="1327" w:type="dxa"/>
            <w:vAlign w:val="center"/>
          </w:tcPr>
          <w:p>
            <w:pPr>
              <w:spacing w:after="0" w:line="240" w:lineRule="auto"/>
              <w:jc w:val="center"/>
              <w:rPr>
                <w:rFonts w:ascii="Times New Roman" w:hAnsi="Times New Roman"/>
                <w:color w:val="000000"/>
                <w:sz w:val="24"/>
                <w:szCs w:val="24"/>
                <w:lang w:val="en-US"/>
              </w:rPr>
            </w:pPr>
            <w:r>
              <w:rPr>
                <w:rFonts w:ascii="Times New Roman" w:hAnsi="Times New Roman"/>
                <w:color w:val="000000"/>
                <w:sz w:val="24"/>
                <w:szCs w:val="24"/>
                <w:lang w:val="en-US"/>
              </w:rPr>
              <w:t xml:space="preserve">0.001</w:t>
            </w:r>
          </w:p>
        </w:tc>
        <w:tc>
          <w:tcPr>
            <w:tcW w:w="1663" w:type="dxa"/>
            <w:vAlign w:val="center"/>
          </w:tcPr>
          <w:p>
            <w:pPr>
              <w:spacing w:after="0" w:line="240" w:lineRule="auto"/>
              <w:jc w:val="center"/>
              <w:rPr>
                <w:rFonts w:ascii="Times New Roman" w:hAnsi="Times New Roman"/>
                <w:color w:val="000000"/>
                <w:sz w:val="24"/>
                <w:szCs w:val="24"/>
                <w:lang w:val="en-US"/>
              </w:rPr>
            </w:pPr>
            <w:r>
              <w:rPr>
                <w:rFonts w:ascii="Times New Roman" w:hAnsi="Times New Roman"/>
                <w:color w:val="000000"/>
                <w:sz w:val="24"/>
                <w:szCs w:val="24"/>
                <w:lang w:val="en-US"/>
              </w:rPr>
              <w:t xml:space="preserve">83.457</w:t>
            </w:r>
          </w:p>
        </w:tc>
        <w:tc>
          <w:tcPr>
            <w:tcW w:w="1354"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20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r>
      <w:tr>
        <w:trPr>
          <w:cantSplit/>
          <w:trHeight w:val="20" w:hRule="atLeast"/>
        </w:trPr>
        <w:tc>
          <w:tcPr>
            <w:tcW w:w="1124"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2017</w:t>
            </w:r>
          </w:p>
        </w:tc>
        <w:tc>
          <w:tcPr>
            <w:tcW w:w="1598" w:type="dxa"/>
            <w:vAlign w:val="center"/>
          </w:tcPr>
          <w:p>
            <w:pPr>
              <w:pStyle w:val="Ttulo1"/>
              <w:spacing w:before="0" w:beforeAutospacing="0" w:after="0" w:afterAutospacing="0"/>
              <w:jc w:val="center"/>
              <w:rPr>
                <w:b w:val="0"/>
                <w:bCs w:val="0"/>
                <w:color w:val="000000"/>
                <w:sz w:val="24"/>
                <w:szCs w:val="24"/>
                <w:lang w:val="en-US"/>
              </w:rPr>
            </w:pPr>
            <w:r>
              <w:rPr>
                <w:b w:val="0"/>
                <w:bCs w:val="0"/>
                <w:color w:val="000000"/>
                <w:sz w:val="24"/>
                <w:szCs w:val="24"/>
                <w:lang w:val="en-US"/>
              </w:rPr>
              <w:t xml:space="preserve">54.399</w:t>
            </w:r>
          </w:p>
        </w:tc>
        <w:tc>
          <w:tcPr>
            <w:tcW w:w="1466" w:type="dxa"/>
            <w:vAlign w:val="center"/>
          </w:tcPr>
          <w:p>
            <w:pPr>
              <w:spacing w:after="0"/>
              <w:jc w:val="center"/>
              <w:rPr>
                <w:rFonts w:ascii="Times New Roman" w:hAnsi="Times New Roman"/>
                <w:color w:val="000000"/>
                <w:sz w:val="24"/>
                <w:szCs w:val="24"/>
              </w:rPr>
            </w:pPr>
            <w:r>
              <w:rPr>
                <w:rFonts w:ascii="Times New Roman" w:hAnsi="Times New Roman"/>
                <w:color w:val="000000"/>
                <w:sz w:val="24"/>
                <w:szCs w:val="24"/>
              </w:rPr>
              <w:t xml:space="preserve">&lt;0.001</w:t>
            </w:r>
          </w:p>
        </w:tc>
        <w:tc>
          <w:tcPr>
            <w:tcW w:w="1327" w:type="dxa"/>
            <w:vAlign w:val="center"/>
          </w:tcPr>
          <w:p>
            <w:pPr>
              <w:spacing w:after="0" w:line="240" w:lineRule="auto"/>
              <w:jc w:val="center"/>
              <w:rPr>
                <w:rFonts w:ascii="Times New Roman" w:hAnsi="Times New Roman"/>
                <w:color w:val="000000"/>
                <w:sz w:val="24"/>
                <w:szCs w:val="24"/>
                <w:lang w:val="en-US"/>
              </w:rPr>
            </w:pPr>
            <w:r>
              <w:rPr>
                <w:rFonts w:ascii="Times New Roman" w:hAnsi="Times New Roman"/>
                <w:color w:val="000000"/>
                <w:sz w:val="24"/>
                <w:szCs w:val="24"/>
                <w:lang w:val="en-US"/>
              </w:rPr>
              <w:t xml:space="preserve">0.001</w:t>
            </w:r>
          </w:p>
        </w:tc>
        <w:tc>
          <w:tcPr>
            <w:tcW w:w="1663" w:type="dxa"/>
            <w:vAlign w:val="center"/>
          </w:tcPr>
          <w:p>
            <w:pPr>
              <w:spacing w:after="0" w:line="240" w:lineRule="auto"/>
              <w:jc w:val="center"/>
              <w:rPr>
                <w:rFonts w:ascii="Times New Roman" w:hAnsi="Times New Roman"/>
                <w:color w:val="000000"/>
                <w:sz w:val="24"/>
                <w:szCs w:val="24"/>
                <w:lang w:val="en-US"/>
              </w:rPr>
            </w:pPr>
            <w:r>
              <w:rPr>
                <w:rFonts w:ascii="Times New Roman" w:hAnsi="Times New Roman"/>
                <w:color w:val="000000"/>
                <w:sz w:val="24"/>
                <w:szCs w:val="24"/>
                <w:lang w:val="en-US"/>
              </w:rPr>
              <w:t xml:space="preserve">151.423</w:t>
            </w:r>
          </w:p>
        </w:tc>
        <w:tc>
          <w:tcPr>
            <w:tcW w:w="1354"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20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r>
      <w:tr>
        <w:trPr>
          <w:cantSplit/>
          <w:trHeight w:val="20" w:hRule="atLeast"/>
        </w:trPr>
        <w:tc>
          <w:tcPr>
            <w:tcW w:w="1124"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2018</w:t>
            </w:r>
          </w:p>
        </w:tc>
        <w:tc>
          <w:tcPr>
            <w:tcW w:w="1598" w:type="dxa"/>
            <w:vAlign w:val="center"/>
          </w:tcPr>
          <w:p>
            <w:pPr>
              <w:pStyle w:val="Ttulo1"/>
              <w:spacing w:before="0" w:beforeAutospacing="0" w:after="0" w:afterAutospacing="0"/>
              <w:jc w:val="center"/>
              <w:rPr>
                <w:b w:val="0"/>
                <w:bCs w:val="0"/>
                <w:color w:val="000000"/>
                <w:sz w:val="24"/>
                <w:szCs w:val="24"/>
                <w:lang w:val="en-US"/>
              </w:rPr>
            </w:pPr>
            <w:r>
              <w:rPr>
                <w:b w:val="0"/>
                <w:bCs w:val="0"/>
                <w:color w:val="000000"/>
                <w:sz w:val="24"/>
                <w:szCs w:val="24"/>
                <w:lang w:val="en-US"/>
              </w:rPr>
              <w:t xml:space="preserve">30.702</w:t>
            </w:r>
          </w:p>
        </w:tc>
        <w:tc>
          <w:tcPr>
            <w:tcW w:w="1466" w:type="dxa"/>
            <w:vAlign w:val="center"/>
          </w:tcPr>
          <w:p>
            <w:pPr>
              <w:spacing w:after="0"/>
              <w:jc w:val="center"/>
              <w:rPr>
                <w:rFonts w:ascii="Times New Roman" w:hAnsi="Times New Roman"/>
                <w:color w:val="000000"/>
                <w:sz w:val="24"/>
                <w:szCs w:val="24"/>
              </w:rPr>
            </w:pPr>
            <w:r>
              <w:rPr>
                <w:rFonts w:ascii="Times New Roman" w:hAnsi="Times New Roman"/>
                <w:color w:val="000000"/>
                <w:sz w:val="24"/>
                <w:szCs w:val="24"/>
              </w:rPr>
              <w:t xml:space="preserve">&lt;0.001</w:t>
            </w:r>
          </w:p>
        </w:tc>
        <w:tc>
          <w:tcPr>
            <w:tcW w:w="1327" w:type="dxa"/>
            <w:vAlign w:val="center"/>
          </w:tcPr>
          <w:p>
            <w:pPr>
              <w:spacing w:after="0" w:line="240" w:lineRule="auto"/>
              <w:jc w:val="center"/>
              <w:rPr>
                <w:rFonts w:ascii="Times New Roman" w:hAnsi="Times New Roman"/>
                <w:color w:val="000000"/>
                <w:sz w:val="24"/>
                <w:szCs w:val="24"/>
                <w:lang w:val="en-US"/>
              </w:rPr>
            </w:pPr>
            <w:r>
              <w:rPr>
                <w:rFonts w:ascii="Times New Roman" w:hAnsi="Times New Roman"/>
                <w:color w:val="000000"/>
                <w:sz w:val="24"/>
                <w:szCs w:val="24"/>
                <w:lang w:val="en-US"/>
              </w:rPr>
              <w:t xml:space="preserve">0.001</w:t>
            </w:r>
          </w:p>
        </w:tc>
        <w:tc>
          <w:tcPr>
            <w:tcW w:w="1663" w:type="dxa"/>
            <w:vAlign w:val="center"/>
          </w:tcPr>
          <w:p>
            <w:pPr>
              <w:spacing w:after="0" w:line="240" w:lineRule="auto"/>
              <w:jc w:val="center"/>
              <w:rPr>
                <w:rFonts w:ascii="Times New Roman" w:hAnsi="Times New Roman"/>
                <w:color w:val="000000"/>
                <w:sz w:val="24"/>
                <w:szCs w:val="24"/>
                <w:lang w:val="en-US"/>
              </w:rPr>
            </w:pPr>
            <w:r>
              <w:rPr>
                <w:rFonts w:ascii="Times New Roman" w:hAnsi="Times New Roman"/>
                <w:color w:val="000000"/>
                <w:sz w:val="24"/>
                <w:szCs w:val="24"/>
                <w:lang w:val="en-US"/>
              </w:rPr>
              <w:t xml:space="preserve">111.622</w:t>
            </w:r>
          </w:p>
        </w:tc>
        <w:tc>
          <w:tcPr>
            <w:tcW w:w="1354"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20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r>
      <w:tr>
        <w:trPr>
          <w:cantSplit/>
        </w:trPr>
        <w:tc>
          <w:tcPr>
            <w:tcW w:w="1124"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2019</w:t>
            </w:r>
          </w:p>
        </w:tc>
        <w:tc>
          <w:tcPr>
            <w:tcW w:w="1598" w:type="dxa"/>
            <w:vAlign w:val="center"/>
          </w:tcPr>
          <w:p>
            <w:pPr>
              <w:spacing w:after="0"/>
              <w:jc w:val="center"/>
              <w:rPr>
                <w:rFonts w:ascii="Times New Roman" w:hAnsi="Times New Roman"/>
                <w:color w:val="000000"/>
                <w:sz w:val="24"/>
                <w:szCs w:val="24"/>
              </w:rPr>
            </w:pPr>
            <w:r>
              <w:rPr>
                <w:rFonts w:ascii="Times New Roman" w:hAnsi="Times New Roman"/>
                <w:color w:val="000000"/>
                <w:sz w:val="24"/>
                <w:szCs w:val="24"/>
              </w:rPr>
              <w:t xml:space="preserve">31.911</w:t>
            </w:r>
          </w:p>
        </w:tc>
        <w:tc>
          <w:tcPr>
            <w:tcW w:w="1466" w:type="dxa"/>
            <w:vAlign w:val="center"/>
          </w:tcPr>
          <w:p>
            <w:pPr>
              <w:spacing w:after="0"/>
              <w:jc w:val="center"/>
              <w:rPr>
                <w:rFonts w:ascii="Times New Roman" w:hAnsi="Times New Roman"/>
                <w:color w:val="000000"/>
                <w:sz w:val="24"/>
                <w:szCs w:val="24"/>
              </w:rPr>
            </w:pPr>
            <w:r>
              <w:rPr>
                <w:rFonts w:ascii="Times New Roman" w:hAnsi="Times New Roman"/>
                <w:color w:val="000000"/>
                <w:sz w:val="24"/>
                <w:szCs w:val="24"/>
              </w:rPr>
              <w:t xml:space="preserve">&lt;0.001</w:t>
            </w:r>
          </w:p>
        </w:tc>
        <w:tc>
          <w:tcPr>
            <w:tcW w:w="1327" w:type="dxa"/>
            <w:vAlign w:val="center"/>
          </w:tcPr>
          <w:p>
            <w:pPr>
              <w:spacing w:after="0" w:line="240" w:lineRule="auto"/>
              <w:jc w:val="center"/>
              <w:rPr>
                <w:rFonts w:ascii="Times New Roman" w:hAnsi="Times New Roman"/>
                <w:color w:val="000000"/>
                <w:sz w:val="24"/>
                <w:szCs w:val="24"/>
                <w:lang w:val="en-US"/>
              </w:rPr>
            </w:pPr>
            <w:r>
              <w:rPr>
                <w:rFonts w:ascii="Times New Roman" w:hAnsi="Times New Roman"/>
                <w:color w:val="000000"/>
                <w:sz w:val="24"/>
                <w:szCs w:val="24"/>
                <w:lang w:val="en-US"/>
              </w:rPr>
              <w:t xml:space="preserve">0.001</w:t>
            </w:r>
          </w:p>
        </w:tc>
        <w:tc>
          <w:tcPr>
            <w:tcW w:w="1663" w:type="dxa"/>
            <w:vAlign w:val="center"/>
          </w:tcPr>
          <w:p>
            <w:pPr>
              <w:spacing w:after="0"/>
              <w:jc w:val="center"/>
              <w:rPr>
                <w:rFonts w:ascii="Times New Roman" w:hAnsi="Times New Roman"/>
                <w:color w:val="000000"/>
                <w:sz w:val="24"/>
                <w:szCs w:val="24"/>
              </w:rPr>
            </w:pPr>
            <w:r>
              <w:rPr>
                <w:rFonts w:ascii="Times New Roman" w:hAnsi="Times New Roman"/>
                <w:color w:val="000000"/>
                <w:sz w:val="24"/>
                <w:szCs w:val="24"/>
              </w:rPr>
              <w:t xml:space="preserve">120.286        </w:t>
            </w:r>
          </w:p>
        </w:tc>
        <w:tc>
          <w:tcPr>
            <w:tcW w:w="1354"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20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r>
      <w:tr>
        <w:trPr>
          <w:cantSplit/>
        </w:trPr>
        <w:tc>
          <w:tcPr>
            <w:tcW w:w="1124"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2020</w:t>
            </w:r>
          </w:p>
        </w:tc>
        <w:tc>
          <w:tcPr>
            <w:tcW w:w="1598" w:type="dxa"/>
            <w:vAlign w:val="center"/>
          </w:tcPr>
          <w:p>
            <w:pPr>
              <w:pStyle w:val="Ttulo1"/>
              <w:spacing w:before="0" w:beforeAutospacing="0" w:after="0" w:afterAutospacing="0"/>
              <w:jc w:val="center"/>
              <w:rPr>
                <w:b w:val="0"/>
                <w:bCs w:val="0"/>
                <w:color w:val="000000"/>
                <w:sz w:val="24"/>
                <w:szCs w:val="24"/>
                <w:lang w:val="en-US"/>
              </w:rPr>
            </w:pPr>
            <w:r>
              <w:rPr>
                <w:b w:val="0"/>
                <w:bCs w:val="0"/>
                <w:color w:val="000000"/>
                <w:sz w:val="24"/>
                <w:szCs w:val="24"/>
                <w:lang w:val="en-US"/>
              </w:rPr>
              <w:t xml:space="preserve">50.135</w:t>
            </w:r>
          </w:p>
        </w:tc>
        <w:tc>
          <w:tcPr>
            <w:tcW w:w="1466" w:type="dxa"/>
            <w:vAlign w:val="center"/>
          </w:tcPr>
          <w:p>
            <w:pPr>
              <w:spacing w:after="0"/>
              <w:jc w:val="center"/>
              <w:rPr>
                <w:rFonts w:ascii="Times New Roman" w:hAnsi="Times New Roman"/>
                <w:color w:val="000000"/>
                <w:sz w:val="24"/>
                <w:szCs w:val="24"/>
              </w:rPr>
            </w:pPr>
            <w:r>
              <w:rPr>
                <w:rFonts w:ascii="Times New Roman" w:hAnsi="Times New Roman"/>
                <w:color w:val="000000"/>
                <w:sz w:val="24"/>
                <w:szCs w:val="24"/>
              </w:rPr>
              <w:t xml:space="preserve">&lt;0.001</w:t>
            </w:r>
          </w:p>
        </w:tc>
        <w:tc>
          <w:tcPr>
            <w:tcW w:w="1327" w:type="dxa"/>
            <w:vAlign w:val="center"/>
          </w:tcPr>
          <w:p>
            <w:pPr>
              <w:spacing w:after="0" w:line="240" w:lineRule="auto"/>
              <w:jc w:val="center"/>
              <w:rPr>
                <w:rFonts w:ascii="Times New Roman" w:hAnsi="Times New Roman"/>
                <w:color w:val="000000"/>
                <w:sz w:val="24"/>
                <w:szCs w:val="24"/>
                <w:lang w:val="en-US"/>
              </w:rPr>
            </w:pPr>
            <w:r>
              <w:rPr>
                <w:rFonts w:ascii="Times New Roman" w:hAnsi="Times New Roman"/>
                <w:color w:val="000000"/>
                <w:sz w:val="24"/>
                <w:szCs w:val="24"/>
                <w:lang w:val="en-US"/>
              </w:rPr>
              <w:t xml:space="preserve">0.001</w:t>
            </w:r>
          </w:p>
        </w:tc>
        <w:tc>
          <w:tcPr>
            <w:tcW w:w="1663" w:type="dxa"/>
            <w:vAlign w:val="center"/>
          </w:tcPr>
          <w:p>
            <w:pPr>
              <w:spacing w:after="0" w:line="240" w:lineRule="auto"/>
              <w:jc w:val="center"/>
              <w:rPr>
                <w:rFonts w:ascii="Times New Roman" w:hAnsi="Times New Roman"/>
                <w:color w:val="000000"/>
                <w:sz w:val="24"/>
                <w:szCs w:val="24"/>
                <w:lang w:val="en-US"/>
              </w:rPr>
            </w:pPr>
            <w:r>
              <w:rPr>
                <w:rFonts w:ascii="Times New Roman" w:hAnsi="Times New Roman"/>
                <w:color w:val="000000"/>
                <w:sz w:val="24"/>
                <w:szCs w:val="24"/>
                <w:lang w:val="en-US"/>
              </w:rPr>
              <w:t xml:space="preserve">182.549</w:t>
            </w:r>
          </w:p>
        </w:tc>
        <w:tc>
          <w:tcPr>
            <w:tcW w:w="1354"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20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r>
      <w:tr>
        <w:trPr>
          <w:cantSplit/>
        </w:trPr>
        <w:tc>
          <w:tcPr>
            <w:tcW w:w="1124"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2021</w:t>
            </w:r>
          </w:p>
        </w:tc>
        <w:tc>
          <w:tcPr>
            <w:tcW w:w="159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32.597</w:t>
            </w:r>
          </w:p>
        </w:tc>
        <w:tc>
          <w:tcPr>
            <w:tcW w:w="1466"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327"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0.001</w:t>
            </w:r>
          </w:p>
        </w:tc>
        <w:tc>
          <w:tcPr>
            <w:tcW w:w="1663"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129.970</w:t>
            </w:r>
          </w:p>
        </w:tc>
        <w:tc>
          <w:tcPr>
            <w:tcW w:w="1354"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20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r>
      <w:tr>
        <w:trPr>
          <w:cantSplit/>
        </w:trPr>
        <w:tc>
          <w:tcPr>
            <w:tcW w:w="1124"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2022</w:t>
            </w:r>
          </w:p>
        </w:tc>
        <w:tc>
          <w:tcPr>
            <w:tcW w:w="159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24.621</w:t>
            </w:r>
          </w:p>
        </w:tc>
        <w:tc>
          <w:tcPr>
            <w:tcW w:w="1466"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327"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0.001</w:t>
            </w:r>
          </w:p>
        </w:tc>
        <w:tc>
          <w:tcPr>
            <w:tcW w:w="1663"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109.477</w:t>
            </w:r>
          </w:p>
        </w:tc>
        <w:tc>
          <w:tcPr>
            <w:tcW w:w="1354"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20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r>
      <w:tr>
        <w:trPr>
          <w:cantSplit/>
        </w:trPr>
        <w:tc>
          <w:tcPr>
            <w:tcW w:w="1124"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2023</w:t>
            </w:r>
          </w:p>
        </w:tc>
        <w:tc>
          <w:tcPr>
            <w:tcW w:w="159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33.149</w:t>
            </w:r>
          </w:p>
        </w:tc>
        <w:tc>
          <w:tcPr>
            <w:tcW w:w="1466"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327"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0.001</w:t>
            </w:r>
          </w:p>
        </w:tc>
        <w:tc>
          <w:tcPr>
            <w:tcW w:w="1663"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118.653</w:t>
            </w:r>
          </w:p>
        </w:tc>
        <w:tc>
          <w:tcPr>
            <w:tcW w:w="1354"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20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r>
      <w:tr>
        <w:trPr>
          <w:cantSplit/>
        </w:trPr>
        <w:tc>
          <w:tcPr>
            <w:tcW w:w="1124"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2024</w:t>
            </w:r>
          </w:p>
        </w:tc>
        <w:tc>
          <w:tcPr>
            <w:tcW w:w="159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38.099</w:t>
            </w:r>
          </w:p>
        </w:tc>
        <w:tc>
          <w:tcPr>
            <w:tcW w:w="1466"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327"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0.001</w:t>
            </w:r>
          </w:p>
        </w:tc>
        <w:tc>
          <w:tcPr>
            <w:tcW w:w="1663"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127.200</w:t>
            </w:r>
          </w:p>
        </w:tc>
        <w:tc>
          <w:tcPr>
            <w:tcW w:w="1354"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20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r>
    </w:tbl>
    <w:p>
      <w:pPr>
        <w:spacing w:before="80" w:after="120" w:line="240" w:lineRule="auto"/>
        <w:jc w:val="both"/>
        <w:rPr>
          <w:rFonts w:ascii="Times New Roman" w:hAnsi="Times New Roman"/>
          <w:sz w:val="20"/>
          <w:szCs w:val="20"/>
          <w:lang w:val="en-US"/>
        </w:rPr>
      </w:pPr>
      <w:r>
        <w:rPr>
          <w:rFonts w:ascii="Times New Roman" w:hAnsi="Times New Roman"/>
          <w:sz w:val="20"/>
          <w:szCs w:val="20"/>
          <w:lang w:val="en-US"/>
        </w:rPr>
        <w:t xml:space="preserve">Notes: LMp tests H₀: σ = μ (Pareto type I within Pareto type II, χ²(1)); LMz tests H₀: σ = μ and α = 1 (Zipf within Pareto type II, χ²(2)). Both tests use the smallest included revenue as the cutoff. Asymptotic probabilities are chi-squared upper-tail probabilities. Bootstrap probabilities use 999 parametric replications and the correction                    (k + 1)/(999 + 1), where k is the number of simulated statistics at least as large as the observed statistic. The retained historical Python calculation uses seed 20260701 for LMp and a separate stream with seed 20260702 for LMz; the exponent under the LMp null is the restricted estimate, while LMz imposes α = 1. The simulated sample minimum is re-estimated in every replication. Recomputed bootstrap values in the V12 main_tests.csv use seed 20260923 and constitute a separate Monte Carlo run. The 2019 top-1000 sample includes the restored rank-779 firm in the V12 analysis; its displayed statistics were updated, and its bootstrap probabilities remain 0.001 at the displayed precision.</w:t>
      </w:r>
    </w:p>
    <w:p>
      <w:pPr>
        <w:keepNext/>
        <w:pageBreakBefore/>
        <w:spacing w:before="120" w:after="120" w:line="240" w:lineRule="auto"/>
        <w:jc w:val="center"/>
        <w:rPr>
          <w:rFonts w:ascii="Times New Roman" w:hAnsi="Times New Roman"/>
          <w:sz w:val="24"/>
          <w:szCs w:val="24"/>
          <w:lang w:val="en-US"/>
        </w:rPr>
      </w:pPr>
      <w:r>
        <w:rPr>
          <w:rFonts w:ascii="Times New Roman" w:hAnsi="Times New Roman"/>
          <w:b/>
          <w:sz w:val="24"/>
          <w:szCs w:val="24"/>
          <w:lang w:val="en-US"/>
        </w:rPr>
        <w:t xml:space="preserve">Table 2</w:t>
      </w:r>
    </w:p>
    <w:p>
      <w:pPr>
        <w:keepNext/>
        <w:spacing w:before="120" w:after="120" w:line="240" w:lineRule="auto"/>
        <w:jc w:val="center"/>
        <w:rPr>
          <w:rFonts w:ascii="Times New Roman" w:hAnsi="Times New Roman"/>
          <w:sz w:val="24"/>
          <w:szCs w:val="24"/>
          <w:lang w:val="en-US"/>
        </w:rPr>
      </w:pPr>
      <w:r>
        <w:rPr>
          <w:rFonts w:ascii="Times New Roman" w:hAnsi="Times New Roman"/>
          <w:b/>
          <w:sz w:val="24"/>
          <w:szCs w:val="24"/>
          <w:lang w:val="en-US"/>
        </w:rPr>
        <w:t xml:space="preserve">Lagrange multiplier tests (LM) for restricted Pareto type II distributions for the 500 largest firms in Brazil – 1999–2024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7"/>
        <w:gridCol w:w="1499"/>
        <w:gridCol w:w="1368"/>
        <w:gridCol w:w="1223"/>
        <w:gridCol w:w="1629"/>
        <w:gridCol w:w="1275"/>
        <w:gridCol w:w="1124"/>
      </w:tblGrid>
      <w:tr>
        <w:trPr>
          <w:cantSplit/>
          <w:trHeight w:val="588" w:hRule="atLeast"/>
          <w:tblHeader/>
        </w:trPr>
        <w:tc>
          <w:tcPr>
            <w:tcW w:w="1117" w:type="dxa"/>
            <w:vMerge w:val="restart"/>
            <w:vAlign w:val="center"/>
          </w:tcPr>
          <w:p>
            <w:pPr>
              <w:pStyle w:val="Ttulo1"/>
              <w:spacing w:before="0" w:beforeAutospacing="0" w:after="0" w:afterAutospacing="0"/>
              <w:jc w:val="center"/>
              <w:rPr>
                <w:bCs w:val="0"/>
                <w:sz w:val="24"/>
                <w:szCs w:val="24"/>
                <w:lang w:val="en-US"/>
              </w:rPr>
            </w:pPr>
            <w:r>
              <w:rPr>
                <w:bCs w:val="0"/>
                <w:sz w:val="24"/>
                <w:szCs w:val="24"/>
                <w:lang w:val="en-US"/>
              </w:rPr>
              <w:t xml:space="preserve">Year</w:t>
            </w:r>
          </w:p>
        </w:tc>
        <w:tc>
          <w:tcPr>
            <w:tcW w:w="4346" w:type="dxa"/>
            <w:gridSpan w:val="3"/>
            <w:vAlign w:val="center"/>
          </w:tcPr>
          <w:p>
            <w:pPr>
              <w:pStyle w:val="Ttulo1"/>
              <w:spacing w:before="0" w:beforeAutospacing="0" w:after="0" w:afterAutospacing="0"/>
              <w:jc w:val="center"/>
              <w:rPr>
                <w:bCs w:val="0"/>
                <w:sz w:val="24"/>
                <w:szCs w:val="24"/>
                <w:lang w:val="en-US"/>
              </w:rPr>
            </w:pPr>
            <w:r>
              <w:rPr>
                <w:bCs w:val="0"/>
                <w:sz w:val="24"/>
                <w:szCs w:val="24"/>
                <w:lang w:val="en-US"/>
              </w:rPr>
              <w:t xml:space="preserve">LMp [H</w:t>
            </w:r>
            <w:r>
              <w:rPr>
                <w:bCs w:val="0"/>
                <w:sz w:val="24"/>
                <w:szCs w:val="24"/>
                <w:vertAlign w:val="subscript"/>
                <w:lang w:val="en-US"/>
              </w:rPr>
              <w:t xml:space="preserve">0</w:t>
            </w:r>
            <w:r>
              <w:rPr>
                <w:bCs w:val="0"/>
                <w:sz w:val="24"/>
                <w:szCs w:val="24"/>
                <w:lang w:val="en-US"/>
              </w:rPr>
              <w:t xml:space="preserve">: </w:t>
            </w:r>
            <w:r>
              <w:rPr>
                <w:rFonts w:eastAsia="Arial"/>
                <w:bCs w:val="0"/>
                <w:sz w:val="24"/>
                <w:szCs w:val="24"/>
                <w:lang w:val="en-US"/>
              </w:rPr>
              <w:t xml:space="preserve">σ</w:t>
            </w:r>
            <w:r>
              <w:rPr>
                <w:bCs w:val="0"/>
                <w:sz w:val="24"/>
                <w:szCs w:val="24"/>
                <w:lang w:val="en-US"/>
              </w:rPr>
              <w:t xml:space="preserve"> = </w:t>
            </w:r>
            <w:r>
              <w:rPr>
                <w:rFonts w:eastAsia="Arial"/>
                <w:bCs w:val="0"/>
                <w:sz w:val="24"/>
                <w:szCs w:val="24"/>
                <w:lang w:val="en-US"/>
              </w:rPr>
              <w:t xml:space="preserve">μ</w:t>
            </w:r>
            <w:r>
              <w:rPr>
                <w:bCs w:val="0"/>
                <w:sz w:val="24"/>
                <w:szCs w:val="24"/>
                <w:lang w:val="en-US"/>
              </w:rPr>
              <w:t xml:space="preserve">]</w:t>
            </w:r>
          </w:p>
        </w:tc>
        <w:tc>
          <w:tcPr>
            <w:tcW w:w="4273" w:type="dxa"/>
            <w:gridSpan w:val="3"/>
            <w:vAlign w:val="center"/>
          </w:tcPr>
          <w:p>
            <w:pPr>
              <w:pStyle w:val="Ttulo1"/>
              <w:spacing w:before="0" w:beforeAutospacing="0" w:after="0" w:afterAutospacing="0"/>
              <w:jc w:val="center"/>
              <w:rPr>
                <w:bCs w:val="0"/>
                <w:sz w:val="24"/>
                <w:szCs w:val="24"/>
                <w:lang w:val="en-US"/>
              </w:rPr>
            </w:pPr>
            <w:r>
              <w:rPr>
                <w:bCs w:val="0"/>
                <w:sz w:val="24"/>
                <w:szCs w:val="24"/>
                <w:lang w:val="en-US"/>
              </w:rPr>
              <w:t xml:space="preserve">LMz [H</w:t>
            </w:r>
            <w:r>
              <w:rPr>
                <w:bCs w:val="0"/>
                <w:sz w:val="24"/>
                <w:szCs w:val="24"/>
                <w:vertAlign w:val="subscript"/>
                <w:lang w:val="en-US"/>
              </w:rPr>
              <w:t xml:space="preserve">0</w:t>
            </w:r>
            <w:r>
              <w:rPr>
                <w:bCs w:val="0"/>
                <w:sz w:val="24"/>
                <w:szCs w:val="24"/>
                <w:lang w:val="en-US"/>
              </w:rPr>
              <w:t xml:space="preserve">: </w:t>
            </w:r>
            <w:r>
              <w:rPr>
                <w:rFonts w:eastAsia="Arial"/>
                <w:bCs w:val="0"/>
                <w:sz w:val="24"/>
                <w:szCs w:val="24"/>
                <w:lang w:val="en-US"/>
              </w:rPr>
              <w:t xml:space="preserve">σ</w:t>
            </w:r>
            <w:r>
              <w:rPr>
                <w:bCs w:val="0"/>
                <w:sz w:val="24"/>
                <w:szCs w:val="24"/>
                <w:lang w:val="en-US"/>
              </w:rPr>
              <w:t xml:space="preserve"> = </w:t>
            </w:r>
            <w:r>
              <w:rPr>
                <w:rFonts w:eastAsia="Arial"/>
                <w:bCs w:val="0"/>
                <w:sz w:val="24"/>
                <w:szCs w:val="24"/>
                <w:lang w:val="en-US"/>
              </w:rPr>
              <w:t xml:space="preserve">μ</w:t>
            </w:r>
            <w:r>
              <w:rPr>
                <w:bCs w:val="0"/>
                <w:sz w:val="24"/>
                <w:szCs w:val="24"/>
                <w:lang w:val="en-US"/>
              </w:rPr>
              <w:t xml:space="preserve"> , </w:t>
            </w:r>
            <w:r>
              <w:rPr>
                <w:rFonts w:eastAsia="Arial"/>
                <w:bCs w:val="0"/>
                <w:sz w:val="24"/>
                <w:szCs w:val="24"/>
                <w:lang w:val="en-US"/>
              </w:rPr>
              <w:t xml:space="preserve">α</w:t>
            </w:r>
            <w:r>
              <w:rPr>
                <w:bCs w:val="0"/>
                <w:sz w:val="24"/>
                <w:szCs w:val="24"/>
                <w:lang w:val="en-US"/>
              </w:rPr>
              <w:t xml:space="preserve"> = 1]</w:t>
            </w:r>
          </w:p>
        </w:tc>
      </w:tr>
      <w:tr>
        <w:trPr>
          <w:cantSplit/>
          <w:tblHeader/>
        </w:trPr>
        <w:tc>
          <w:tcPr>
            <w:tcW w:w="1117" w:type="dxa"/>
            <w:vMerge/>
          </w:tcPr>
          <w:p>
            <w:pPr>
              <w:pStyle w:val="Ttulo1"/>
              <w:spacing w:before="0" w:beforeAutospacing="0" w:after="240" w:afterAutospacing="0"/>
              <w:jc w:val="center"/>
              <w:rPr>
                <w:bCs w:val="0"/>
                <w:sz w:val="24"/>
                <w:szCs w:val="24"/>
              </w:rPr>
            </w:pPr>
          </w:p>
        </w:tc>
        <w:tc>
          <w:tcPr>
            <w:tcW w:w="1588" w:type="dxa"/>
            <w:vAlign w:val="center"/>
          </w:tcPr>
          <w:p>
            <w:pPr>
              <w:pStyle w:val="Ttulo1"/>
              <w:spacing w:before="0" w:beforeAutospacing="0" w:after="0" w:afterAutospacing="0"/>
              <w:jc w:val="center"/>
              <w:rPr>
                <w:bCs w:val="0"/>
                <w:sz w:val="24"/>
                <w:szCs w:val="24"/>
                <w:lang w:val="en-US"/>
              </w:rPr>
            </w:pPr>
            <w:r>
              <w:rPr>
                <w:bCs w:val="0"/>
                <w:sz w:val="24"/>
                <w:szCs w:val="24"/>
                <w:lang w:val="en-US"/>
              </w:rPr>
              <w:t xml:space="preserve">test statistic</w:t>
            </w:r>
          </w:p>
        </w:tc>
        <w:tc>
          <w:tcPr>
            <w:tcW w:w="1453" w:type="dxa"/>
            <w:vAlign w:val="center"/>
          </w:tcPr>
          <w:p>
            <w:pPr>
              <w:pStyle w:val="Ttulo1"/>
              <w:spacing w:before="0" w:beforeAutospacing="0" w:after="0" w:afterAutospacing="0"/>
              <w:jc w:val="center"/>
              <w:rPr>
                <w:bCs w:val="0"/>
                <w:sz w:val="24"/>
                <w:szCs w:val="24"/>
                <w:lang w:val="en-US"/>
              </w:rPr>
            </w:pPr>
            <w:r>
              <w:rPr>
                <w:bCs w:val="0"/>
                <w:sz w:val="24"/>
                <w:szCs w:val="24"/>
                <w:lang w:val="en-US"/>
              </w:rPr>
              <w:t xml:space="preserve">asy. p-value</w:t>
            </w:r>
          </w:p>
        </w:tc>
        <w:tc>
          <w:tcPr>
            <w:tcW w:w="1305" w:type="dxa"/>
            <w:vAlign w:val="center"/>
          </w:tcPr>
          <w:p>
            <w:pPr>
              <w:pStyle w:val="Ttulo1"/>
              <w:spacing w:before="0" w:beforeAutospacing="0" w:after="0" w:afterAutospacing="0"/>
              <w:jc w:val="center"/>
              <w:rPr>
                <w:bCs w:val="0"/>
                <w:sz w:val="24"/>
                <w:szCs w:val="24"/>
                <w:lang w:val="en-US"/>
              </w:rPr>
            </w:pPr>
            <w:r>
              <w:rPr>
                <w:bCs w:val="0"/>
                <w:sz w:val="24"/>
                <w:szCs w:val="24"/>
                <w:lang w:val="en-US"/>
              </w:rPr>
              <w:t xml:space="preserve">boot. p-value</w:t>
            </w:r>
          </w:p>
        </w:tc>
        <w:tc>
          <w:tcPr>
            <w:tcW w:w="1741" w:type="dxa"/>
            <w:vAlign w:val="center"/>
          </w:tcPr>
          <w:p>
            <w:pPr>
              <w:pStyle w:val="Ttulo1"/>
              <w:spacing w:before="0" w:beforeAutospacing="0" w:after="0" w:afterAutospacing="0"/>
              <w:jc w:val="center"/>
              <w:rPr>
                <w:bCs w:val="0"/>
                <w:sz w:val="24"/>
                <w:szCs w:val="24"/>
                <w:lang w:val="en-US"/>
              </w:rPr>
            </w:pPr>
            <w:r>
              <w:rPr>
                <w:bCs w:val="0"/>
                <w:sz w:val="24"/>
                <w:szCs w:val="24"/>
                <w:lang w:val="en-US"/>
              </w:rPr>
              <w:t xml:space="preserve">test statistic</w:t>
            </w:r>
          </w:p>
        </w:tc>
        <w:tc>
          <w:tcPr>
            <w:tcW w:w="1344" w:type="dxa"/>
            <w:vAlign w:val="center"/>
          </w:tcPr>
          <w:p>
            <w:pPr>
              <w:pStyle w:val="Ttulo1"/>
              <w:spacing w:before="0" w:beforeAutospacing="0" w:after="0" w:afterAutospacing="0"/>
              <w:jc w:val="center"/>
              <w:rPr>
                <w:bCs w:val="0"/>
                <w:sz w:val="24"/>
                <w:szCs w:val="24"/>
                <w:lang w:val="en-US"/>
              </w:rPr>
            </w:pPr>
            <w:r>
              <w:rPr>
                <w:bCs w:val="0"/>
                <w:sz w:val="24"/>
                <w:szCs w:val="24"/>
                <w:lang w:val="en-US"/>
              </w:rPr>
              <w:t xml:space="preserve">asy. p-value</w:t>
            </w:r>
          </w:p>
        </w:tc>
        <w:tc>
          <w:tcPr>
            <w:tcW w:w="1188" w:type="dxa"/>
            <w:vAlign w:val="center"/>
          </w:tcPr>
          <w:p>
            <w:pPr>
              <w:pStyle w:val="Ttulo1"/>
              <w:spacing w:before="0" w:beforeAutospacing="0" w:after="0" w:afterAutospacing="0"/>
              <w:jc w:val="center"/>
              <w:rPr>
                <w:bCs w:val="0"/>
                <w:sz w:val="24"/>
                <w:szCs w:val="24"/>
                <w:lang w:val="en-US"/>
              </w:rPr>
            </w:pPr>
            <w:r>
              <w:rPr>
                <w:bCs w:val="0"/>
                <w:sz w:val="24"/>
                <w:szCs w:val="24"/>
                <w:lang w:val="en-US"/>
              </w:rPr>
              <w:t xml:space="preserve">boot. p-value</w:t>
            </w:r>
          </w:p>
        </w:tc>
      </w:tr>
      <w:tr>
        <w:trPr>
          <w:cantSplit/>
        </w:trPr>
        <w:tc>
          <w:tcPr>
            <w:tcW w:w="1117"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1999</w:t>
            </w:r>
          </w:p>
        </w:tc>
        <w:tc>
          <w:tcPr>
            <w:tcW w:w="158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8.045</w:t>
            </w:r>
          </w:p>
        </w:tc>
        <w:tc>
          <w:tcPr>
            <w:tcW w:w="145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0.005</w:t>
            </w:r>
          </w:p>
        </w:tc>
        <w:tc>
          <w:tcPr>
            <w:tcW w:w="130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0.004</w:t>
            </w:r>
          </w:p>
        </w:tc>
        <w:tc>
          <w:tcPr>
            <w:tcW w:w="174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8.036</w:t>
            </w:r>
          </w:p>
        </w:tc>
        <w:tc>
          <w:tcPr>
            <w:tcW w:w="134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0.018</w:t>
            </w:r>
          </w:p>
        </w:tc>
        <w:tc>
          <w:tcPr>
            <w:tcW w:w="118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0.014</w:t>
            </w:r>
          </w:p>
        </w:tc>
      </w:tr>
      <w:tr>
        <w:trPr>
          <w:cantSplit/>
        </w:trPr>
        <w:tc>
          <w:tcPr>
            <w:tcW w:w="1117"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2000</w:t>
            </w:r>
          </w:p>
        </w:tc>
        <w:tc>
          <w:tcPr>
            <w:tcW w:w="158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10.619</w:t>
            </w:r>
          </w:p>
        </w:tc>
        <w:tc>
          <w:tcPr>
            <w:tcW w:w="145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c>
          <w:tcPr>
            <w:tcW w:w="130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0.002</w:t>
            </w:r>
          </w:p>
        </w:tc>
        <w:tc>
          <w:tcPr>
            <w:tcW w:w="174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11.082</w:t>
            </w:r>
          </w:p>
        </w:tc>
        <w:tc>
          <w:tcPr>
            <w:tcW w:w="134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0.004</w:t>
            </w:r>
          </w:p>
        </w:tc>
        <w:tc>
          <w:tcPr>
            <w:tcW w:w="118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0.003</w:t>
            </w:r>
          </w:p>
        </w:tc>
      </w:tr>
      <w:tr>
        <w:trPr>
          <w:cantSplit/>
        </w:trPr>
        <w:tc>
          <w:tcPr>
            <w:tcW w:w="1117"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2001</w:t>
            </w:r>
          </w:p>
        </w:tc>
        <w:tc>
          <w:tcPr>
            <w:tcW w:w="158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10.957</w:t>
            </w:r>
          </w:p>
        </w:tc>
        <w:tc>
          <w:tcPr>
            <w:tcW w:w="145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c>
          <w:tcPr>
            <w:tcW w:w="130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0.003</w:t>
            </w:r>
          </w:p>
        </w:tc>
        <w:tc>
          <w:tcPr>
            <w:tcW w:w="174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10.968</w:t>
            </w:r>
          </w:p>
        </w:tc>
        <w:tc>
          <w:tcPr>
            <w:tcW w:w="134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0.004</w:t>
            </w:r>
          </w:p>
        </w:tc>
        <w:tc>
          <w:tcPr>
            <w:tcW w:w="118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0.006</w:t>
            </w:r>
          </w:p>
        </w:tc>
      </w:tr>
      <w:tr>
        <w:trPr>
          <w:cantSplit/>
        </w:trPr>
        <w:tc>
          <w:tcPr>
            <w:tcW w:w="1117"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2002</w:t>
            </w:r>
          </w:p>
        </w:tc>
        <w:tc>
          <w:tcPr>
            <w:tcW w:w="158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12.934</w:t>
            </w:r>
          </w:p>
        </w:tc>
        <w:tc>
          <w:tcPr>
            <w:tcW w:w="1453"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30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0.001</w:t>
            </w:r>
          </w:p>
        </w:tc>
        <w:tc>
          <w:tcPr>
            <w:tcW w:w="174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12.759</w:t>
            </w:r>
          </w:p>
        </w:tc>
        <w:tc>
          <w:tcPr>
            <w:tcW w:w="134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0.002</w:t>
            </w:r>
          </w:p>
        </w:tc>
        <w:tc>
          <w:tcPr>
            <w:tcW w:w="118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0.004</w:t>
            </w:r>
          </w:p>
        </w:tc>
      </w:tr>
      <w:tr>
        <w:trPr>
          <w:cantSplit/>
        </w:trPr>
        <w:tc>
          <w:tcPr>
            <w:tcW w:w="1117"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2003</w:t>
            </w:r>
          </w:p>
        </w:tc>
        <w:tc>
          <w:tcPr>
            <w:tcW w:w="158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12.134</w:t>
            </w:r>
          </w:p>
        </w:tc>
        <w:tc>
          <w:tcPr>
            <w:tcW w:w="1453"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30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0.003</w:t>
            </w:r>
          </w:p>
        </w:tc>
        <w:tc>
          <w:tcPr>
            <w:tcW w:w="174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12.712</w:t>
            </w:r>
          </w:p>
        </w:tc>
        <w:tc>
          <w:tcPr>
            <w:tcW w:w="134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0.002</w:t>
            </w:r>
          </w:p>
        </w:tc>
        <w:tc>
          <w:tcPr>
            <w:tcW w:w="118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0.004</w:t>
            </w:r>
          </w:p>
        </w:tc>
      </w:tr>
      <w:tr>
        <w:trPr>
          <w:cantSplit/>
        </w:trPr>
        <w:tc>
          <w:tcPr>
            <w:tcW w:w="1117"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2004</w:t>
            </w:r>
          </w:p>
        </w:tc>
        <w:tc>
          <w:tcPr>
            <w:tcW w:w="158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6.668</w:t>
            </w:r>
          </w:p>
        </w:tc>
        <w:tc>
          <w:tcPr>
            <w:tcW w:w="145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0.010</w:t>
            </w:r>
          </w:p>
        </w:tc>
        <w:tc>
          <w:tcPr>
            <w:tcW w:w="130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0.007</w:t>
            </w:r>
          </w:p>
        </w:tc>
        <w:tc>
          <w:tcPr>
            <w:tcW w:w="174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6.810</w:t>
            </w:r>
          </w:p>
        </w:tc>
        <w:tc>
          <w:tcPr>
            <w:tcW w:w="134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0.033</w:t>
            </w:r>
          </w:p>
        </w:tc>
        <w:tc>
          <w:tcPr>
            <w:tcW w:w="118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0.028</w:t>
            </w:r>
          </w:p>
        </w:tc>
      </w:tr>
      <w:tr>
        <w:trPr>
          <w:cantSplit/>
        </w:trPr>
        <w:tc>
          <w:tcPr>
            <w:tcW w:w="1117"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2005</w:t>
            </w:r>
          </w:p>
        </w:tc>
        <w:tc>
          <w:tcPr>
            <w:tcW w:w="158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8.111</w:t>
            </w:r>
          </w:p>
        </w:tc>
        <w:tc>
          <w:tcPr>
            <w:tcW w:w="145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0.004</w:t>
            </w:r>
          </w:p>
        </w:tc>
        <w:tc>
          <w:tcPr>
            <w:tcW w:w="130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0.005</w:t>
            </w:r>
          </w:p>
        </w:tc>
        <w:tc>
          <w:tcPr>
            <w:tcW w:w="174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8.305</w:t>
            </w:r>
          </w:p>
        </w:tc>
        <w:tc>
          <w:tcPr>
            <w:tcW w:w="134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0.016</w:t>
            </w:r>
          </w:p>
        </w:tc>
        <w:tc>
          <w:tcPr>
            <w:tcW w:w="118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0.015</w:t>
            </w:r>
          </w:p>
        </w:tc>
      </w:tr>
      <w:tr>
        <w:trPr>
          <w:cantSplit/>
        </w:trPr>
        <w:tc>
          <w:tcPr>
            <w:tcW w:w="1117"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2006</w:t>
            </w:r>
          </w:p>
        </w:tc>
        <w:tc>
          <w:tcPr>
            <w:tcW w:w="158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10.090</w:t>
            </w:r>
          </w:p>
        </w:tc>
        <w:tc>
          <w:tcPr>
            <w:tcW w:w="145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c>
          <w:tcPr>
            <w:tcW w:w="130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0.003</w:t>
            </w:r>
          </w:p>
        </w:tc>
        <w:tc>
          <w:tcPr>
            <w:tcW w:w="174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10.887</w:t>
            </w:r>
          </w:p>
        </w:tc>
        <w:tc>
          <w:tcPr>
            <w:tcW w:w="134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0.004</w:t>
            </w:r>
          </w:p>
        </w:tc>
        <w:tc>
          <w:tcPr>
            <w:tcW w:w="118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0.013</w:t>
            </w:r>
          </w:p>
        </w:tc>
      </w:tr>
      <w:tr>
        <w:trPr>
          <w:cantSplit/>
        </w:trPr>
        <w:tc>
          <w:tcPr>
            <w:tcW w:w="1117"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2007</w:t>
            </w:r>
          </w:p>
        </w:tc>
        <w:tc>
          <w:tcPr>
            <w:tcW w:w="158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9.601</w:t>
            </w:r>
          </w:p>
        </w:tc>
        <w:tc>
          <w:tcPr>
            <w:tcW w:w="145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0.002</w:t>
            </w:r>
          </w:p>
        </w:tc>
        <w:tc>
          <w:tcPr>
            <w:tcW w:w="130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0.003</w:t>
            </w:r>
          </w:p>
        </w:tc>
        <w:tc>
          <w:tcPr>
            <w:tcW w:w="174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10.879</w:t>
            </w:r>
          </w:p>
        </w:tc>
        <w:tc>
          <w:tcPr>
            <w:tcW w:w="134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0.004</w:t>
            </w:r>
          </w:p>
        </w:tc>
        <w:tc>
          <w:tcPr>
            <w:tcW w:w="118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0.007</w:t>
            </w:r>
          </w:p>
        </w:tc>
      </w:tr>
      <w:tr>
        <w:trPr>
          <w:cantSplit/>
        </w:trPr>
        <w:tc>
          <w:tcPr>
            <w:tcW w:w="1117"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2008</w:t>
            </w:r>
          </w:p>
        </w:tc>
        <w:tc>
          <w:tcPr>
            <w:tcW w:w="158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8.467</w:t>
            </w:r>
          </w:p>
        </w:tc>
        <w:tc>
          <w:tcPr>
            <w:tcW w:w="145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0.004</w:t>
            </w:r>
          </w:p>
        </w:tc>
        <w:tc>
          <w:tcPr>
            <w:tcW w:w="130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0.003</w:t>
            </w:r>
          </w:p>
        </w:tc>
        <w:tc>
          <w:tcPr>
            <w:tcW w:w="174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9.564</w:t>
            </w:r>
          </w:p>
        </w:tc>
        <w:tc>
          <w:tcPr>
            <w:tcW w:w="134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0.008</w:t>
            </w:r>
          </w:p>
        </w:tc>
        <w:tc>
          <w:tcPr>
            <w:tcW w:w="118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0.012</w:t>
            </w:r>
          </w:p>
        </w:tc>
      </w:tr>
      <w:tr>
        <w:trPr>
          <w:cantSplit/>
        </w:trPr>
        <w:tc>
          <w:tcPr>
            <w:tcW w:w="1117"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2009</w:t>
            </w:r>
          </w:p>
        </w:tc>
        <w:tc>
          <w:tcPr>
            <w:tcW w:w="158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8.227</w:t>
            </w:r>
          </w:p>
        </w:tc>
        <w:tc>
          <w:tcPr>
            <w:tcW w:w="145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0.004</w:t>
            </w:r>
          </w:p>
        </w:tc>
        <w:tc>
          <w:tcPr>
            <w:tcW w:w="130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0.004</w:t>
            </w:r>
          </w:p>
        </w:tc>
        <w:tc>
          <w:tcPr>
            <w:tcW w:w="174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8.271</w:t>
            </w:r>
          </w:p>
        </w:tc>
        <w:tc>
          <w:tcPr>
            <w:tcW w:w="134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0.016</w:t>
            </w:r>
          </w:p>
        </w:tc>
        <w:tc>
          <w:tcPr>
            <w:tcW w:w="118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0.020</w:t>
            </w:r>
          </w:p>
        </w:tc>
      </w:tr>
      <w:tr>
        <w:trPr>
          <w:cantSplit/>
        </w:trPr>
        <w:tc>
          <w:tcPr>
            <w:tcW w:w="1117"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2010</w:t>
            </w:r>
          </w:p>
        </w:tc>
        <w:tc>
          <w:tcPr>
            <w:tcW w:w="158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6.950</w:t>
            </w:r>
          </w:p>
        </w:tc>
        <w:tc>
          <w:tcPr>
            <w:tcW w:w="145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0.008</w:t>
            </w:r>
          </w:p>
        </w:tc>
        <w:tc>
          <w:tcPr>
            <w:tcW w:w="130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0.014</w:t>
            </w:r>
          </w:p>
        </w:tc>
        <w:tc>
          <w:tcPr>
            <w:tcW w:w="1741" w:type="dxa"/>
            <w:vAlign w:val="center"/>
          </w:tcPr>
          <w:p>
            <w:pPr>
              <w:spacing w:after="0" w:line="240" w:lineRule="auto"/>
              <w:rPr>
                <w:rFonts w:ascii="Times New Roman" w:hAnsi="Times New Roman"/>
                <w:sz w:val="24"/>
                <w:szCs w:val="24"/>
                <w:lang w:val="en-US"/>
              </w:rPr>
            </w:pPr>
            <w:r>
              <w:rPr>
                <w:rFonts w:ascii="Times New Roman" w:hAnsi="Times New Roman"/>
                <w:sz w:val="24"/>
                <w:szCs w:val="24"/>
                <w:lang w:val="en-US"/>
              </w:rPr>
              <w:t xml:space="preserve">      12.185</w:t>
            </w:r>
          </w:p>
        </w:tc>
        <w:tc>
          <w:tcPr>
            <w:tcW w:w="134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0.002</w:t>
            </w:r>
          </w:p>
        </w:tc>
        <w:tc>
          <w:tcPr>
            <w:tcW w:w="118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0.002</w:t>
            </w:r>
          </w:p>
        </w:tc>
      </w:tr>
      <w:tr>
        <w:trPr>
          <w:cantSplit/>
        </w:trPr>
        <w:tc>
          <w:tcPr>
            <w:tcW w:w="1117"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2011</w:t>
            </w:r>
          </w:p>
        </w:tc>
        <w:tc>
          <w:tcPr>
            <w:tcW w:w="158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3.892</w:t>
            </w:r>
          </w:p>
        </w:tc>
        <w:tc>
          <w:tcPr>
            <w:tcW w:w="145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0.049</w:t>
            </w:r>
          </w:p>
        </w:tc>
        <w:tc>
          <w:tcPr>
            <w:tcW w:w="130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0.051</w:t>
            </w:r>
          </w:p>
        </w:tc>
        <w:tc>
          <w:tcPr>
            <w:tcW w:w="1741" w:type="dxa"/>
            <w:vAlign w:val="center"/>
          </w:tcPr>
          <w:p>
            <w:pPr>
              <w:spacing w:after="0" w:line="240" w:lineRule="auto"/>
              <w:rPr>
                <w:rFonts w:ascii="Times New Roman" w:hAnsi="Times New Roman"/>
                <w:sz w:val="24"/>
                <w:szCs w:val="24"/>
                <w:lang w:val="en-US"/>
              </w:rPr>
            </w:pPr>
            <w:r>
              <w:rPr>
                <w:rFonts w:ascii="Times New Roman" w:hAnsi="Times New Roman"/>
                <w:sz w:val="24"/>
                <w:szCs w:val="24"/>
                <w:lang w:val="en-US"/>
              </w:rPr>
              <w:t xml:space="preserve">       7.978</w:t>
            </w:r>
          </w:p>
        </w:tc>
        <w:tc>
          <w:tcPr>
            <w:tcW w:w="134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0.019</w:t>
            </w:r>
          </w:p>
        </w:tc>
        <w:tc>
          <w:tcPr>
            <w:tcW w:w="118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0.019</w:t>
            </w:r>
          </w:p>
        </w:tc>
      </w:tr>
      <w:tr>
        <w:trPr>
          <w:cantSplit/>
        </w:trPr>
        <w:tc>
          <w:tcPr>
            <w:tcW w:w="1117"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2012</w:t>
            </w:r>
          </w:p>
        </w:tc>
        <w:tc>
          <w:tcPr>
            <w:tcW w:w="158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0.979</w:t>
            </w:r>
          </w:p>
        </w:tc>
        <w:tc>
          <w:tcPr>
            <w:tcW w:w="145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0.322</w:t>
            </w:r>
          </w:p>
        </w:tc>
        <w:tc>
          <w:tcPr>
            <w:tcW w:w="130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0.327</w:t>
            </w:r>
          </w:p>
        </w:tc>
        <w:tc>
          <w:tcPr>
            <w:tcW w:w="174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1.524</w:t>
            </w:r>
          </w:p>
        </w:tc>
        <w:tc>
          <w:tcPr>
            <w:tcW w:w="134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0.467</w:t>
            </w:r>
          </w:p>
        </w:tc>
        <w:tc>
          <w:tcPr>
            <w:tcW w:w="118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0.463</w:t>
            </w:r>
          </w:p>
        </w:tc>
      </w:tr>
      <w:tr>
        <w:trPr>
          <w:cantSplit/>
        </w:trPr>
        <w:tc>
          <w:tcPr>
            <w:tcW w:w="1117"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2013</w:t>
            </w:r>
          </w:p>
        </w:tc>
        <w:tc>
          <w:tcPr>
            <w:tcW w:w="158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3.705</w:t>
            </w:r>
          </w:p>
        </w:tc>
        <w:tc>
          <w:tcPr>
            <w:tcW w:w="145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0.054</w:t>
            </w:r>
          </w:p>
        </w:tc>
        <w:tc>
          <w:tcPr>
            <w:tcW w:w="130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0.053</w:t>
            </w:r>
          </w:p>
        </w:tc>
        <w:tc>
          <w:tcPr>
            <w:tcW w:w="174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5.292</w:t>
            </w:r>
          </w:p>
        </w:tc>
        <w:tc>
          <w:tcPr>
            <w:tcW w:w="134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0.071</w:t>
            </w:r>
          </w:p>
        </w:tc>
        <w:tc>
          <w:tcPr>
            <w:tcW w:w="118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0.078</w:t>
            </w:r>
          </w:p>
        </w:tc>
      </w:tr>
      <w:tr>
        <w:trPr>
          <w:cantSplit/>
        </w:trPr>
        <w:tc>
          <w:tcPr>
            <w:tcW w:w="1117"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2014</w:t>
            </w:r>
          </w:p>
        </w:tc>
        <w:tc>
          <w:tcPr>
            <w:tcW w:w="158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2.213</w:t>
            </w:r>
          </w:p>
        </w:tc>
        <w:tc>
          <w:tcPr>
            <w:tcW w:w="145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0.137</w:t>
            </w:r>
          </w:p>
        </w:tc>
        <w:tc>
          <w:tcPr>
            <w:tcW w:w="130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0.137</w:t>
            </w:r>
          </w:p>
        </w:tc>
        <w:tc>
          <w:tcPr>
            <w:tcW w:w="174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2.866</w:t>
            </w:r>
          </w:p>
        </w:tc>
        <w:tc>
          <w:tcPr>
            <w:tcW w:w="134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0.239</w:t>
            </w:r>
          </w:p>
        </w:tc>
        <w:tc>
          <w:tcPr>
            <w:tcW w:w="118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0.270</w:t>
            </w:r>
          </w:p>
        </w:tc>
      </w:tr>
      <w:tr>
        <w:trPr>
          <w:cantSplit/>
        </w:trPr>
        <w:tc>
          <w:tcPr>
            <w:tcW w:w="1117"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2015</w:t>
            </w:r>
          </w:p>
        </w:tc>
        <w:tc>
          <w:tcPr>
            <w:tcW w:w="158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3.032</w:t>
            </w:r>
          </w:p>
        </w:tc>
        <w:tc>
          <w:tcPr>
            <w:tcW w:w="145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0.082</w:t>
            </w:r>
          </w:p>
        </w:tc>
        <w:tc>
          <w:tcPr>
            <w:tcW w:w="130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0.075</w:t>
            </w:r>
          </w:p>
        </w:tc>
        <w:tc>
          <w:tcPr>
            <w:tcW w:w="174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4.503</w:t>
            </w:r>
          </w:p>
        </w:tc>
        <w:tc>
          <w:tcPr>
            <w:tcW w:w="134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0.105</w:t>
            </w:r>
          </w:p>
        </w:tc>
        <w:tc>
          <w:tcPr>
            <w:tcW w:w="118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0.097</w:t>
            </w:r>
          </w:p>
        </w:tc>
      </w:tr>
      <w:tr>
        <w:trPr>
          <w:cantSplit/>
        </w:trPr>
        <w:tc>
          <w:tcPr>
            <w:tcW w:w="1117"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2016</w:t>
            </w:r>
          </w:p>
        </w:tc>
        <w:tc>
          <w:tcPr>
            <w:tcW w:w="158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9.741</w:t>
            </w:r>
          </w:p>
        </w:tc>
        <w:tc>
          <w:tcPr>
            <w:tcW w:w="145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0.002</w:t>
            </w:r>
          </w:p>
        </w:tc>
        <w:tc>
          <w:tcPr>
            <w:tcW w:w="130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0.004</w:t>
            </w:r>
          </w:p>
        </w:tc>
        <w:tc>
          <w:tcPr>
            <w:tcW w:w="174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14.271</w:t>
            </w:r>
          </w:p>
        </w:tc>
        <w:tc>
          <w:tcPr>
            <w:tcW w:w="134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c>
          <w:tcPr>
            <w:tcW w:w="118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r>
      <w:tr>
        <w:trPr>
          <w:cantSplit/>
        </w:trPr>
        <w:tc>
          <w:tcPr>
            <w:tcW w:w="1117"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2017</w:t>
            </w:r>
          </w:p>
        </w:tc>
        <w:tc>
          <w:tcPr>
            <w:tcW w:w="158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8.703</w:t>
            </w:r>
          </w:p>
        </w:tc>
        <w:tc>
          <w:tcPr>
            <w:tcW w:w="145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0.003</w:t>
            </w:r>
          </w:p>
        </w:tc>
        <w:tc>
          <w:tcPr>
            <w:tcW w:w="130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0.005</w:t>
            </w:r>
          </w:p>
        </w:tc>
        <w:tc>
          <w:tcPr>
            <w:tcW w:w="174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12.725</w:t>
            </w:r>
          </w:p>
        </w:tc>
        <w:tc>
          <w:tcPr>
            <w:tcW w:w="134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0.002</w:t>
            </w:r>
          </w:p>
        </w:tc>
        <w:tc>
          <w:tcPr>
            <w:tcW w:w="118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0.003</w:t>
            </w:r>
          </w:p>
        </w:tc>
      </w:tr>
      <w:tr>
        <w:trPr>
          <w:cantSplit/>
        </w:trPr>
        <w:tc>
          <w:tcPr>
            <w:tcW w:w="1117"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2018</w:t>
            </w:r>
          </w:p>
        </w:tc>
        <w:tc>
          <w:tcPr>
            <w:tcW w:w="158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5.332</w:t>
            </w:r>
          </w:p>
        </w:tc>
        <w:tc>
          <w:tcPr>
            <w:tcW w:w="145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0.021</w:t>
            </w:r>
          </w:p>
        </w:tc>
        <w:tc>
          <w:tcPr>
            <w:tcW w:w="130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0.022</w:t>
            </w:r>
          </w:p>
        </w:tc>
        <w:tc>
          <w:tcPr>
            <w:tcW w:w="174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9.189</w:t>
            </w:r>
          </w:p>
        </w:tc>
        <w:tc>
          <w:tcPr>
            <w:tcW w:w="134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0.010</w:t>
            </w:r>
          </w:p>
        </w:tc>
        <w:tc>
          <w:tcPr>
            <w:tcW w:w="118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0.011</w:t>
            </w:r>
          </w:p>
        </w:tc>
      </w:tr>
      <w:tr>
        <w:trPr>
          <w:cantSplit/>
        </w:trPr>
        <w:tc>
          <w:tcPr>
            <w:tcW w:w="1117"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2019</w:t>
            </w:r>
          </w:p>
        </w:tc>
        <w:tc>
          <w:tcPr>
            <w:tcW w:w="158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5.712</w:t>
            </w:r>
          </w:p>
        </w:tc>
        <w:tc>
          <w:tcPr>
            <w:tcW w:w="145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0.017</w:t>
            </w:r>
          </w:p>
        </w:tc>
        <w:tc>
          <w:tcPr>
            <w:tcW w:w="130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0.013</w:t>
            </w:r>
          </w:p>
        </w:tc>
        <w:tc>
          <w:tcPr>
            <w:tcW w:w="174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 9.859</w:t>
            </w:r>
          </w:p>
        </w:tc>
        <w:tc>
          <w:tcPr>
            <w:tcW w:w="134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0.007</w:t>
            </w:r>
          </w:p>
        </w:tc>
        <w:tc>
          <w:tcPr>
            <w:tcW w:w="118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0.007</w:t>
            </w:r>
          </w:p>
        </w:tc>
      </w:tr>
      <w:tr>
        <w:trPr>
          <w:cantSplit/>
        </w:trPr>
        <w:tc>
          <w:tcPr>
            <w:tcW w:w="1117"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2020</w:t>
            </w:r>
          </w:p>
        </w:tc>
        <w:tc>
          <w:tcPr>
            <w:tcW w:w="158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5.255</w:t>
            </w:r>
          </w:p>
        </w:tc>
        <w:tc>
          <w:tcPr>
            <w:tcW w:w="145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0.022</w:t>
            </w:r>
          </w:p>
        </w:tc>
        <w:tc>
          <w:tcPr>
            <w:tcW w:w="130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0.036</w:t>
            </w:r>
          </w:p>
        </w:tc>
        <w:tc>
          <w:tcPr>
            <w:tcW w:w="174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19.571</w:t>
            </w:r>
          </w:p>
        </w:tc>
        <w:tc>
          <w:tcPr>
            <w:tcW w:w="1344"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18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r>
      <w:tr>
        <w:trPr>
          <w:cantSplit/>
        </w:trPr>
        <w:tc>
          <w:tcPr>
            <w:tcW w:w="1117"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2021</w:t>
            </w:r>
          </w:p>
        </w:tc>
        <w:tc>
          <w:tcPr>
            <w:tcW w:w="158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7.771</w:t>
            </w:r>
          </w:p>
        </w:tc>
        <w:tc>
          <w:tcPr>
            <w:tcW w:w="145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0.005</w:t>
            </w:r>
          </w:p>
        </w:tc>
        <w:tc>
          <w:tcPr>
            <w:tcW w:w="130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0.006</w:t>
            </w:r>
          </w:p>
        </w:tc>
        <w:tc>
          <w:tcPr>
            <w:tcW w:w="174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17.298</w:t>
            </w:r>
          </w:p>
        </w:tc>
        <w:tc>
          <w:tcPr>
            <w:tcW w:w="1344"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18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r>
      <w:tr>
        <w:trPr>
          <w:cantSplit/>
        </w:trPr>
        <w:tc>
          <w:tcPr>
            <w:tcW w:w="1117"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2022</w:t>
            </w:r>
          </w:p>
        </w:tc>
        <w:tc>
          <w:tcPr>
            <w:tcW w:w="158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8.410</w:t>
            </w:r>
          </w:p>
        </w:tc>
        <w:tc>
          <w:tcPr>
            <w:tcW w:w="145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0.004</w:t>
            </w:r>
          </w:p>
        </w:tc>
        <w:tc>
          <w:tcPr>
            <w:tcW w:w="130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0.006</w:t>
            </w:r>
          </w:p>
        </w:tc>
        <w:tc>
          <w:tcPr>
            <w:tcW w:w="174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18.141</w:t>
            </w:r>
          </w:p>
        </w:tc>
        <w:tc>
          <w:tcPr>
            <w:tcW w:w="1344" w:type="dxa"/>
            <w:vAlign w:val="center"/>
          </w:tcPr>
          <w:p>
            <w:pPr>
              <w:spacing w:after="0"/>
              <w:jc w:val="center"/>
              <w:rPr>
                <w:rFonts w:ascii="Times New Roman" w:hAnsi="Times New Roman"/>
                <w:sz w:val="24"/>
                <w:szCs w:val="24"/>
              </w:rPr>
            </w:pPr>
            <w:r>
              <w:rPr>
                <w:rFonts w:ascii="Times New Roman" w:hAnsi="Times New Roman"/>
                <w:sz w:val="24"/>
                <w:szCs w:val="24"/>
              </w:rPr>
              <w:t xml:space="preserve">&lt;0.001</w:t>
            </w:r>
          </w:p>
        </w:tc>
        <w:tc>
          <w:tcPr>
            <w:tcW w:w="118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0.001</w:t>
            </w:r>
          </w:p>
        </w:tc>
      </w:tr>
      <w:tr>
        <w:trPr>
          <w:cantSplit/>
        </w:trPr>
        <w:tc>
          <w:tcPr>
            <w:tcW w:w="1117"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2023</w:t>
            </w:r>
          </w:p>
        </w:tc>
        <w:tc>
          <w:tcPr>
            <w:tcW w:w="158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4.105</w:t>
            </w:r>
          </w:p>
        </w:tc>
        <w:tc>
          <w:tcPr>
            <w:tcW w:w="145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0.043</w:t>
            </w:r>
          </w:p>
        </w:tc>
        <w:tc>
          <w:tcPr>
            <w:tcW w:w="130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0.051</w:t>
            </w:r>
          </w:p>
        </w:tc>
        <w:tc>
          <w:tcPr>
            <w:tcW w:w="174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 8.832</w:t>
            </w:r>
          </w:p>
        </w:tc>
        <w:tc>
          <w:tcPr>
            <w:tcW w:w="134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0.012</w:t>
            </w:r>
          </w:p>
        </w:tc>
        <w:tc>
          <w:tcPr>
            <w:tcW w:w="118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0.010</w:t>
            </w:r>
          </w:p>
        </w:tc>
      </w:tr>
      <w:tr>
        <w:trPr>
          <w:cantSplit/>
        </w:trPr>
        <w:tc>
          <w:tcPr>
            <w:tcW w:w="1117"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2024</w:t>
            </w:r>
          </w:p>
        </w:tc>
        <w:tc>
          <w:tcPr>
            <w:tcW w:w="158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5.747</w:t>
            </w:r>
          </w:p>
        </w:tc>
        <w:tc>
          <w:tcPr>
            <w:tcW w:w="145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0.017</w:t>
            </w:r>
          </w:p>
        </w:tc>
        <w:tc>
          <w:tcPr>
            <w:tcW w:w="130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0.014</w:t>
            </w:r>
          </w:p>
        </w:tc>
        <w:tc>
          <w:tcPr>
            <w:tcW w:w="174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12.902</w:t>
            </w:r>
          </w:p>
        </w:tc>
        <w:tc>
          <w:tcPr>
            <w:tcW w:w="1344"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0.002</w:t>
            </w:r>
          </w:p>
        </w:tc>
        <w:tc>
          <w:tcPr>
            <w:tcW w:w="118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0.003</w:t>
            </w:r>
          </w:p>
        </w:tc>
      </w:tr>
    </w:tbl>
    <w:p>
      <w:pPr>
        <w:spacing w:before="80" w:after="120" w:line="240" w:lineRule="auto"/>
        <w:jc w:val="both"/>
        <w:rPr>
          <w:rFonts w:ascii="Times New Roman" w:hAnsi="Times New Roman"/>
          <w:sz w:val="20"/>
          <w:szCs w:val="20"/>
          <w:lang w:val="en-US"/>
        </w:rPr>
      </w:pPr>
      <w:r>
        <w:rPr>
          <w:rFonts w:ascii="Times New Roman" w:hAnsi="Times New Roman"/>
          <w:sz w:val="20"/>
          <w:szCs w:val="20"/>
          <w:lang w:val="en-US"/>
        </w:rPr>
        <w:t xml:space="preserve">Notes: LMp tests H₀: σ = μ (Pareto type I within Pareto type II, χ²(1)); LMz tests H₀: σ = μ and α = 1 (Zipf within Pareto type II, χ²(2)). Both tests use the smallest included revenue as the cutoff. Asymptotic probabilities are chi-squared upper-tail probabilities. Bootstrap probabilities use 999 parametric replications and the correction (k + 1)/(999 + 1), where k is the number of simulated statistics at least as large as the observed statistic. The retained historical Python calculation uses seed 20260701 for LMp and a separate stream with seed 20260702 for LMz; the exponent under the LMp null is the restricted estimate, while LMz imposes α = 1. The simulated sample minimum is re-estimated in every replication. Recomputed bootstrap values in the V12 main_tests.csv use seed 20260923 and constitute a separate Monte Carlo run.</w:t>
      </w:r>
    </w:p>
    <w:p>
      <w:pPr>
        <w:keepNext/>
        <w:pageBreakBefore/>
        <w:spacing w:before="120" w:after="120" w:line="240" w:lineRule="auto"/>
        <w:jc w:val="center"/>
        <w:rPr>
          <w:rFonts w:ascii="Times New Roman" w:hAnsi="Times New Roman"/>
          <w:sz w:val="24"/>
          <w:szCs w:val="24"/>
          <w:lang w:val="en-US"/>
        </w:rPr>
      </w:pPr>
      <w:r>
        <w:rPr>
          <w:rFonts w:ascii="Times New Roman" w:hAnsi="Times New Roman"/>
          <w:b/>
          <w:sz w:val="24"/>
          <w:szCs w:val="24"/>
          <w:lang w:val="en-US"/>
        </w:rPr>
        <w:t xml:space="preserve">Table 3</w:t>
      </w:r>
    </w:p>
    <w:p>
      <w:pPr>
        <w:keepNext/>
        <w:spacing w:before="120" w:after="120" w:line="240" w:lineRule="auto"/>
        <w:jc w:val="center"/>
        <w:rPr>
          <w:rFonts w:ascii="Times New Roman" w:hAnsi="Times New Roman"/>
          <w:sz w:val="24"/>
          <w:szCs w:val="24"/>
          <w:lang w:val="en-US"/>
        </w:rPr>
      </w:pPr>
      <w:r>
        <w:rPr>
          <w:rFonts w:ascii="Times New Roman" w:hAnsi="Times New Roman"/>
          <w:b/>
          <w:sz w:val="24"/>
          <w:szCs w:val="24"/>
          <w:lang w:val="en-US"/>
        </w:rPr>
        <w:t xml:space="preserve">Lagrange multiplier tests (LM) for restricted Pareto type II distributions for the 100 largest firms in Brazil – 1999–2024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8"/>
        <w:gridCol w:w="1494"/>
        <w:gridCol w:w="1349"/>
        <w:gridCol w:w="1358"/>
        <w:gridCol w:w="1549"/>
        <w:gridCol w:w="1256"/>
        <w:gridCol w:w="1111"/>
      </w:tblGrid>
      <w:tr>
        <w:trPr>
          <w:cantSplit/>
          <w:trHeight w:val="588" w:hRule="atLeast"/>
          <w:tblHeader/>
        </w:trPr>
        <w:tc>
          <w:tcPr>
            <w:tcW w:w="1111" w:type="dxa"/>
            <w:vMerge w:val="restart"/>
            <w:vAlign w:val="center"/>
          </w:tcPr>
          <w:p>
            <w:pPr>
              <w:pStyle w:val="Ttulo1"/>
              <w:spacing w:before="0" w:beforeAutospacing="0" w:after="0" w:afterAutospacing="0"/>
              <w:jc w:val="center"/>
              <w:rPr>
                <w:bCs w:val="0"/>
                <w:sz w:val="24"/>
                <w:szCs w:val="24"/>
                <w:lang w:val="en-US"/>
              </w:rPr>
            </w:pPr>
            <w:r>
              <w:rPr>
                <w:bCs w:val="0"/>
                <w:sz w:val="24"/>
                <w:szCs w:val="24"/>
                <w:lang w:val="en-US"/>
              </w:rPr>
              <w:t xml:space="preserve">Year</w:t>
            </w:r>
          </w:p>
        </w:tc>
        <w:tc>
          <w:tcPr>
            <w:tcW w:w="4478" w:type="dxa"/>
            <w:gridSpan w:val="3"/>
            <w:vAlign w:val="center"/>
          </w:tcPr>
          <w:p>
            <w:pPr>
              <w:pStyle w:val="Ttulo1"/>
              <w:spacing w:before="0" w:beforeAutospacing="0" w:after="0" w:afterAutospacing="0"/>
              <w:jc w:val="center"/>
              <w:rPr>
                <w:b w:val="0"/>
                <w:bCs w:val="0"/>
                <w:sz w:val="24"/>
                <w:szCs w:val="24"/>
                <w:lang w:val="en-US"/>
              </w:rPr>
            </w:pPr>
            <w:r>
              <w:rPr>
                <w:bCs w:val="0"/>
                <w:sz w:val="24"/>
                <w:szCs w:val="24"/>
                <w:lang w:val="en-US"/>
              </w:rPr>
              <w:t xml:space="preserve">LMp [H</w:t>
            </w:r>
            <w:r>
              <w:rPr>
                <w:bCs w:val="0"/>
                <w:sz w:val="24"/>
                <w:szCs w:val="24"/>
                <w:vertAlign w:val="subscript"/>
                <w:lang w:val="en-US"/>
              </w:rPr>
              <w:t xml:space="preserve">0</w:t>
            </w:r>
            <w:r>
              <w:rPr>
                <w:bCs w:val="0"/>
                <w:sz w:val="24"/>
                <w:szCs w:val="24"/>
                <w:lang w:val="en-US"/>
              </w:rPr>
              <w:t xml:space="preserve">:</w:t>
            </w:r>
            <w:r>
              <w:rPr>
                <w:rFonts w:eastAsia="Arial"/>
                <w:bCs w:val="0"/>
                <w:sz w:val="24"/>
                <w:szCs w:val="24"/>
                <w:lang w:val="en-US"/>
              </w:rPr>
              <w:t xml:space="preserve"> σ</w:t>
            </w:r>
            <w:r>
              <w:rPr>
                <w:bCs w:val="0"/>
                <w:sz w:val="24"/>
                <w:szCs w:val="24"/>
                <w:lang w:val="en-US"/>
              </w:rPr>
              <w:t xml:space="preserve"> = </w:t>
            </w:r>
            <w:r>
              <w:rPr>
                <w:rFonts w:eastAsia="Arial"/>
                <w:bCs w:val="0"/>
                <w:sz w:val="24"/>
                <w:szCs w:val="24"/>
                <w:lang w:val="en-US"/>
              </w:rPr>
              <w:t xml:space="preserve">μ</w:t>
            </w:r>
            <w:r>
              <w:rPr>
                <w:bCs w:val="0"/>
                <w:sz w:val="24"/>
                <w:szCs w:val="24"/>
                <w:lang w:val="en-US"/>
              </w:rPr>
              <w:t xml:space="preserve">]</w:t>
            </w:r>
          </w:p>
        </w:tc>
        <w:tc>
          <w:tcPr>
            <w:tcW w:w="4147" w:type="dxa"/>
            <w:gridSpan w:val="3"/>
            <w:vAlign w:val="center"/>
          </w:tcPr>
          <w:p>
            <w:pPr>
              <w:pStyle w:val="Ttulo1"/>
              <w:spacing w:before="0" w:beforeAutospacing="0" w:after="0" w:afterAutospacing="0"/>
              <w:jc w:val="center"/>
              <w:rPr>
                <w:b w:val="0"/>
                <w:bCs w:val="0"/>
                <w:sz w:val="24"/>
                <w:szCs w:val="24"/>
                <w:lang w:val="en-US"/>
              </w:rPr>
            </w:pPr>
            <w:r>
              <w:rPr>
                <w:bCs w:val="0"/>
                <w:sz w:val="24"/>
                <w:szCs w:val="24"/>
                <w:lang w:val="en-US"/>
              </w:rPr>
              <w:t xml:space="preserve">LMz [H</w:t>
            </w:r>
            <w:r>
              <w:rPr>
                <w:bCs w:val="0"/>
                <w:sz w:val="24"/>
                <w:szCs w:val="24"/>
                <w:vertAlign w:val="subscript"/>
                <w:lang w:val="en-US"/>
              </w:rPr>
              <w:t xml:space="preserve">0</w:t>
            </w:r>
            <w:r>
              <w:rPr>
                <w:bCs w:val="0"/>
                <w:sz w:val="24"/>
                <w:szCs w:val="24"/>
                <w:lang w:val="en-US"/>
              </w:rPr>
              <w:t xml:space="preserve">: </w:t>
            </w:r>
            <w:r>
              <w:rPr>
                <w:rFonts w:eastAsia="Arial"/>
                <w:bCs w:val="0"/>
                <w:sz w:val="24"/>
                <w:szCs w:val="24"/>
                <w:lang w:val="en-US"/>
              </w:rPr>
              <w:t xml:space="preserve">σ</w:t>
            </w:r>
            <w:r>
              <w:rPr>
                <w:bCs w:val="0"/>
                <w:sz w:val="24"/>
                <w:szCs w:val="24"/>
                <w:lang w:val="en-US"/>
              </w:rPr>
              <w:t xml:space="preserve"> = </w:t>
            </w:r>
            <w:r>
              <w:rPr>
                <w:rFonts w:eastAsia="Arial"/>
                <w:bCs w:val="0"/>
                <w:sz w:val="24"/>
                <w:szCs w:val="24"/>
                <w:lang w:val="en-US"/>
              </w:rPr>
              <w:t xml:space="preserve">μ</w:t>
            </w:r>
            <w:r>
              <w:rPr>
                <w:bCs w:val="0"/>
                <w:sz w:val="24"/>
                <w:szCs w:val="24"/>
                <w:lang w:val="en-US"/>
              </w:rPr>
              <w:t xml:space="preserve"> , </w:t>
            </w:r>
            <w:r>
              <w:rPr>
                <w:rFonts w:eastAsia="Arial"/>
                <w:bCs w:val="0"/>
                <w:sz w:val="24"/>
                <w:szCs w:val="24"/>
                <w:lang w:val="en-US"/>
              </w:rPr>
              <w:t xml:space="preserve">α</w:t>
            </w:r>
            <w:r>
              <w:rPr>
                <w:bCs w:val="0"/>
                <w:sz w:val="24"/>
                <w:szCs w:val="24"/>
                <w:lang w:val="en-US"/>
              </w:rPr>
              <w:t xml:space="preserve"> = 1]</w:t>
            </w:r>
          </w:p>
        </w:tc>
      </w:tr>
      <w:tr>
        <w:trPr>
          <w:cantSplit/>
          <w:tblHeader/>
        </w:trPr>
        <w:tc>
          <w:tcPr>
            <w:tcW w:w="1111" w:type="dxa"/>
            <w:vMerge/>
          </w:tcPr>
          <w:p>
            <w:pPr>
              <w:pStyle w:val="Ttulo1"/>
              <w:spacing w:before="0" w:beforeAutospacing="0" w:after="240" w:afterAutospacing="0"/>
              <w:jc w:val="center"/>
              <w:rPr>
                <w:b w:val="0"/>
                <w:bCs w:val="0"/>
                <w:sz w:val="24"/>
                <w:szCs w:val="24"/>
              </w:rPr>
            </w:pPr>
          </w:p>
        </w:tc>
        <w:tc>
          <w:tcPr>
            <w:tcW w:w="1581"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test statistic</w:t>
            </w:r>
          </w:p>
        </w:tc>
        <w:tc>
          <w:tcPr>
            <w:tcW w:w="1443"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asy. p-value</w:t>
            </w:r>
          </w:p>
        </w:tc>
        <w:tc>
          <w:tcPr>
            <w:tcW w:w="1454"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boot. p-value</w:t>
            </w:r>
          </w:p>
        </w:tc>
        <w:tc>
          <w:tcPr>
            <w:tcW w:w="1644"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test statistic</w:t>
            </w:r>
          </w:p>
        </w:tc>
        <w:tc>
          <w:tcPr>
            <w:tcW w:w="1335"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asy. p-value</w:t>
            </w:r>
          </w:p>
        </w:tc>
        <w:tc>
          <w:tcPr>
            <w:tcW w:w="1168"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boot. p-value</w:t>
            </w:r>
          </w:p>
        </w:tc>
      </w:tr>
      <w:tr>
        <w:trPr>
          <w:cantSplit/>
        </w:trPr>
        <w:tc>
          <w:tcPr>
            <w:tcW w:w="1111"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1999</w:t>
            </w:r>
          </w:p>
        </w:tc>
        <w:tc>
          <w:tcPr>
            <w:tcW w:w="158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0.247</w:t>
            </w:r>
          </w:p>
        </w:tc>
        <w:tc>
          <w:tcPr>
            <w:tcW w:w="144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0.619</w:t>
            </w:r>
          </w:p>
        </w:tc>
        <w:tc>
          <w:tcPr>
            <w:tcW w:w="145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0.636</w:t>
            </w:r>
          </w:p>
        </w:tc>
        <w:tc>
          <w:tcPr>
            <w:tcW w:w="164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5.088</w:t>
            </w:r>
          </w:p>
        </w:tc>
        <w:tc>
          <w:tcPr>
            <w:tcW w:w="133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0.079</w:t>
            </w:r>
          </w:p>
        </w:tc>
        <w:tc>
          <w:tcPr>
            <w:tcW w:w="116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0.098</w:t>
            </w:r>
          </w:p>
        </w:tc>
      </w:tr>
      <w:tr>
        <w:trPr>
          <w:cantSplit/>
        </w:trPr>
        <w:tc>
          <w:tcPr>
            <w:tcW w:w="1111"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2000</w:t>
            </w:r>
          </w:p>
        </w:tc>
        <w:tc>
          <w:tcPr>
            <w:tcW w:w="158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0.254</w:t>
            </w:r>
          </w:p>
        </w:tc>
        <w:tc>
          <w:tcPr>
            <w:tcW w:w="144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0.615</w:t>
            </w:r>
          </w:p>
        </w:tc>
        <w:tc>
          <w:tcPr>
            <w:tcW w:w="145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0.611</w:t>
            </w:r>
          </w:p>
        </w:tc>
        <w:tc>
          <w:tcPr>
            <w:tcW w:w="164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7.079</w:t>
            </w:r>
          </w:p>
        </w:tc>
        <w:tc>
          <w:tcPr>
            <w:tcW w:w="133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0.029</w:t>
            </w:r>
          </w:p>
        </w:tc>
        <w:tc>
          <w:tcPr>
            <w:tcW w:w="116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0.031</w:t>
            </w:r>
          </w:p>
        </w:tc>
      </w:tr>
      <w:tr>
        <w:trPr>
          <w:cantSplit/>
        </w:trPr>
        <w:tc>
          <w:tcPr>
            <w:tcW w:w="1111"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2001</w:t>
            </w:r>
          </w:p>
        </w:tc>
        <w:tc>
          <w:tcPr>
            <w:tcW w:w="158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1.157</w:t>
            </w:r>
          </w:p>
        </w:tc>
        <w:tc>
          <w:tcPr>
            <w:tcW w:w="144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0.282</w:t>
            </w:r>
          </w:p>
        </w:tc>
        <w:tc>
          <w:tcPr>
            <w:tcW w:w="145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0.262</w:t>
            </w:r>
          </w:p>
        </w:tc>
        <w:tc>
          <w:tcPr>
            <w:tcW w:w="164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5.051</w:t>
            </w:r>
          </w:p>
        </w:tc>
        <w:tc>
          <w:tcPr>
            <w:tcW w:w="133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0.080</w:t>
            </w:r>
          </w:p>
        </w:tc>
        <w:tc>
          <w:tcPr>
            <w:tcW w:w="116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0.086</w:t>
            </w:r>
          </w:p>
        </w:tc>
      </w:tr>
      <w:tr>
        <w:trPr>
          <w:cantSplit/>
        </w:trPr>
        <w:tc>
          <w:tcPr>
            <w:tcW w:w="1111"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2002</w:t>
            </w:r>
          </w:p>
        </w:tc>
        <w:tc>
          <w:tcPr>
            <w:tcW w:w="158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1.086</w:t>
            </w:r>
          </w:p>
        </w:tc>
        <w:tc>
          <w:tcPr>
            <w:tcW w:w="144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0.297</w:t>
            </w:r>
          </w:p>
        </w:tc>
        <w:tc>
          <w:tcPr>
            <w:tcW w:w="145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0.314</w:t>
            </w:r>
          </w:p>
        </w:tc>
        <w:tc>
          <w:tcPr>
            <w:tcW w:w="164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4.704</w:t>
            </w:r>
          </w:p>
        </w:tc>
        <w:tc>
          <w:tcPr>
            <w:tcW w:w="133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0.095</w:t>
            </w:r>
          </w:p>
        </w:tc>
        <w:tc>
          <w:tcPr>
            <w:tcW w:w="116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0.092</w:t>
            </w:r>
          </w:p>
        </w:tc>
      </w:tr>
      <w:tr>
        <w:trPr>
          <w:cantSplit/>
        </w:trPr>
        <w:tc>
          <w:tcPr>
            <w:tcW w:w="1111"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2003</w:t>
            </w:r>
          </w:p>
        </w:tc>
        <w:tc>
          <w:tcPr>
            <w:tcW w:w="158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1.424</w:t>
            </w:r>
          </w:p>
        </w:tc>
        <w:tc>
          <w:tcPr>
            <w:tcW w:w="144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0.233</w:t>
            </w:r>
          </w:p>
        </w:tc>
        <w:tc>
          <w:tcPr>
            <w:tcW w:w="145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0.254</w:t>
            </w:r>
          </w:p>
        </w:tc>
        <w:tc>
          <w:tcPr>
            <w:tcW w:w="164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4.541</w:t>
            </w:r>
          </w:p>
        </w:tc>
        <w:tc>
          <w:tcPr>
            <w:tcW w:w="133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0.103</w:t>
            </w:r>
          </w:p>
        </w:tc>
        <w:tc>
          <w:tcPr>
            <w:tcW w:w="116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0.110</w:t>
            </w:r>
          </w:p>
        </w:tc>
      </w:tr>
      <w:tr>
        <w:trPr>
          <w:cantSplit/>
        </w:trPr>
        <w:tc>
          <w:tcPr>
            <w:tcW w:w="1111"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2004</w:t>
            </w:r>
          </w:p>
        </w:tc>
        <w:tc>
          <w:tcPr>
            <w:tcW w:w="158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2.094</w:t>
            </w:r>
          </w:p>
        </w:tc>
        <w:tc>
          <w:tcPr>
            <w:tcW w:w="144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0.148</w:t>
            </w:r>
          </w:p>
        </w:tc>
        <w:tc>
          <w:tcPr>
            <w:tcW w:w="145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0.150</w:t>
            </w:r>
          </w:p>
        </w:tc>
        <w:tc>
          <w:tcPr>
            <w:tcW w:w="164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4.679</w:t>
            </w:r>
          </w:p>
        </w:tc>
        <w:tc>
          <w:tcPr>
            <w:tcW w:w="133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0.096</w:t>
            </w:r>
          </w:p>
        </w:tc>
        <w:tc>
          <w:tcPr>
            <w:tcW w:w="116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0.104</w:t>
            </w:r>
          </w:p>
        </w:tc>
      </w:tr>
      <w:tr>
        <w:trPr>
          <w:cantSplit/>
        </w:trPr>
        <w:tc>
          <w:tcPr>
            <w:tcW w:w="1111"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2005</w:t>
            </w:r>
          </w:p>
        </w:tc>
        <w:tc>
          <w:tcPr>
            <w:tcW w:w="158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1.362</w:t>
            </w:r>
          </w:p>
        </w:tc>
        <w:tc>
          <w:tcPr>
            <w:tcW w:w="144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0.243</w:t>
            </w:r>
          </w:p>
        </w:tc>
        <w:tc>
          <w:tcPr>
            <w:tcW w:w="145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0.234</w:t>
            </w:r>
          </w:p>
        </w:tc>
        <w:tc>
          <w:tcPr>
            <w:tcW w:w="164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4.018</w:t>
            </w:r>
          </w:p>
        </w:tc>
        <w:tc>
          <w:tcPr>
            <w:tcW w:w="133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0.134</w:t>
            </w:r>
          </w:p>
        </w:tc>
        <w:tc>
          <w:tcPr>
            <w:tcW w:w="116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0.124</w:t>
            </w:r>
          </w:p>
        </w:tc>
      </w:tr>
      <w:tr>
        <w:trPr>
          <w:cantSplit/>
        </w:trPr>
        <w:tc>
          <w:tcPr>
            <w:tcW w:w="1111"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2006</w:t>
            </w:r>
          </w:p>
        </w:tc>
        <w:tc>
          <w:tcPr>
            <w:tcW w:w="158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1.274</w:t>
            </w:r>
          </w:p>
        </w:tc>
        <w:tc>
          <w:tcPr>
            <w:tcW w:w="144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0.259</w:t>
            </w:r>
          </w:p>
        </w:tc>
        <w:tc>
          <w:tcPr>
            <w:tcW w:w="145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0.262</w:t>
            </w:r>
          </w:p>
        </w:tc>
        <w:tc>
          <w:tcPr>
            <w:tcW w:w="164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4.887</w:t>
            </w:r>
          </w:p>
        </w:tc>
        <w:tc>
          <w:tcPr>
            <w:tcW w:w="133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0.087</w:t>
            </w:r>
          </w:p>
        </w:tc>
        <w:tc>
          <w:tcPr>
            <w:tcW w:w="116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0.084</w:t>
            </w:r>
          </w:p>
        </w:tc>
      </w:tr>
      <w:tr>
        <w:trPr>
          <w:cantSplit/>
        </w:trPr>
        <w:tc>
          <w:tcPr>
            <w:tcW w:w="1111"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2007</w:t>
            </w:r>
          </w:p>
        </w:tc>
        <w:tc>
          <w:tcPr>
            <w:tcW w:w="158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2.521</w:t>
            </w:r>
          </w:p>
        </w:tc>
        <w:tc>
          <w:tcPr>
            <w:tcW w:w="144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0.112</w:t>
            </w:r>
          </w:p>
        </w:tc>
        <w:tc>
          <w:tcPr>
            <w:tcW w:w="145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0.121</w:t>
            </w:r>
          </w:p>
        </w:tc>
        <w:tc>
          <w:tcPr>
            <w:tcW w:w="1644" w:type="dxa"/>
            <w:vAlign w:val="center"/>
          </w:tcPr>
          <w:p>
            <w:pPr>
              <w:spacing w:after="0" w:line="240" w:lineRule="auto"/>
              <w:rPr>
                <w:rFonts w:ascii="Times New Roman" w:hAnsi="Times New Roman"/>
                <w:sz w:val="24"/>
                <w:szCs w:val="24"/>
                <w:lang w:val="en-US"/>
              </w:rPr>
            </w:pPr>
            <w:r>
              <w:rPr>
                <w:rFonts w:ascii="Times New Roman" w:hAnsi="Times New Roman"/>
                <w:sz w:val="24"/>
                <w:szCs w:val="24"/>
                <w:lang w:val="en-US"/>
              </w:rPr>
              <w:t xml:space="preserve">      4.246</w:t>
            </w:r>
          </w:p>
        </w:tc>
        <w:tc>
          <w:tcPr>
            <w:tcW w:w="133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0.120</w:t>
            </w:r>
          </w:p>
        </w:tc>
        <w:tc>
          <w:tcPr>
            <w:tcW w:w="116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0.102</w:t>
            </w:r>
          </w:p>
        </w:tc>
      </w:tr>
      <w:tr>
        <w:trPr>
          <w:cantSplit/>
        </w:trPr>
        <w:tc>
          <w:tcPr>
            <w:tcW w:w="1111"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2008</w:t>
            </w:r>
          </w:p>
        </w:tc>
        <w:tc>
          <w:tcPr>
            <w:tcW w:w="158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0.534</w:t>
            </w:r>
          </w:p>
        </w:tc>
        <w:tc>
          <w:tcPr>
            <w:tcW w:w="144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0.465</w:t>
            </w:r>
          </w:p>
        </w:tc>
        <w:tc>
          <w:tcPr>
            <w:tcW w:w="145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0.475</w:t>
            </w:r>
          </w:p>
        </w:tc>
        <w:tc>
          <w:tcPr>
            <w:tcW w:w="164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4.437</w:t>
            </w:r>
          </w:p>
        </w:tc>
        <w:tc>
          <w:tcPr>
            <w:tcW w:w="133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0.109</w:t>
            </w:r>
          </w:p>
        </w:tc>
        <w:tc>
          <w:tcPr>
            <w:tcW w:w="116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0.092</w:t>
            </w:r>
          </w:p>
        </w:tc>
      </w:tr>
      <w:tr>
        <w:trPr>
          <w:cantSplit/>
        </w:trPr>
        <w:tc>
          <w:tcPr>
            <w:tcW w:w="1111"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2009</w:t>
            </w:r>
          </w:p>
        </w:tc>
        <w:tc>
          <w:tcPr>
            <w:tcW w:w="158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1.345</w:t>
            </w:r>
          </w:p>
        </w:tc>
        <w:tc>
          <w:tcPr>
            <w:tcW w:w="144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0.246</w:t>
            </w:r>
          </w:p>
        </w:tc>
        <w:tc>
          <w:tcPr>
            <w:tcW w:w="145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0.241</w:t>
            </w:r>
          </w:p>
        </w:tc>
        <w:tc>
          <w:tcPr>
            <w:tcW w:w="164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4.103</w:t>
            </w:r>
          </w:p>
        </w:tc>
        <w:tc>
          <w:tcPr>
            <w:tcW w:w="133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0.129</w:t>
            </w:r>
          </w:p>
        </w:tc>
        <w:tc>
          <w:tcPr>
            <w:tcW w:w="116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0.120</w:t>
            </w:r>
          </w:p>
        </w:tc>
      </w:tr>
      <w:tr>
        <w:trPr>
          <w:cantSplit/>
        </w:trPr>
        <w:tc>
          <w:tcPr>
            <w:tcW w:w="1111"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2010</w:t>
            </w:r>
          </w:p>
        </w:tc>
        <w:tc>
          <w:tcPr>
            <w:tcW w:w="158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2.158</w:t>
            </w:r>
          </w:p>
        </w:tc>
        <w:tc>
          <w:tcPr>
            <w:tcW w:w="144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0.142</w:t>
            </w:r>
          </w:p>
        </w:tc>
        <w:tc>
          <w:tcPr>
            <w:tcW w:w="145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0.107</w:t>
            </w:r>
          </w:p>
        </w:tc>
        <w:tc>
          <w:tcPr>
            <w:tcW w:w="164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2.185</w:t>
            </w:r>
          </w:p>
        </w:tc>
        <w:tc>
          <w:tcPr>
            <w:tcW w:w="133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0.335</w:t>
            </w:r>
          </w:p>
        </w:tc>
        <w:tc>
          <w:tcPr>
            <w:tcW w:w="116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0.316</w:t>
            </w:r>
          </w:p>
        </w:tc>
      </w:tr>
      <w:tr>
        <w:trPr>
          <w:cantSplit/>
          <w:trHeight w:val="203" w:hRule="atLeast"/>
        </w:trPr>
        <w:tc>
          <w:tcPr>
            <w:tcW w:w="1111"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2011</w:t>
            </w:r>
          </w:p>
        </w:tc>
        <w:tc>
          <w:tcPr>
            <w:tcW w:w="158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0.456</w:t>
            </w:r>
          </w:p>
        </w:tc>
        <w:tc>
          <w:tcPr>
            <w:tcW w:w="144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0.500</w:t>
            </w:r>
          </w:p>
        </w:tc>
        <w:tc>
          <w:tcPr>
            <w:tcW w:w="145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0.481</w:t>
            </w:r>
          </w:p>
        </w:tc>
        <w:tc>
          <w:tcPr>
            <w:tcW w:w="164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1.252</w:t>
            </w:r>
          </w:p>
        </w:tc>
        <w:tc>
          <w:tcPr>
            <w:tcW w:w="133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0.535</w:t>
            </w:r>
          </w:p>
        </w:tc>
        <w:tc>
          <w:tcPr>
            <w:tcW w:w="116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0.539</w:t>
            </w:r>
          </w:p>
        </w:tc>
      </w:tr>
      <w:tr>
        <w:trPr>
          <w:cantSplit/>
        </w:trPr>
        <w:tc>
          <w:tcPr>
            <w:tcW w:w="1111"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2012</w:t>
            </w:r>
          </w:p>
        </w:tc>
        <w:tc>
          <w:tcPr>
            <w:tcW w:w="158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0.610</w:t>
            </w:r>
          </w:p>
        </w:tc>
        <w:tc>
          <w:tcPr>
            <w:tcW w:w="144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0.435</w:t>
            </w:r>
          </w:p>
        </w:tc>
        <w:tc>
          <w:tcPr>
            <w:tcW w:w="145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0.419</w:t>
            </w:r>
          </w:p>
        </w:tc>
        <w:tc>
          <w:tcPr>
            <w:tcW w:w="164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1.137</w:t>
            </w:r>
          </w:p>
        </w:tc>
        <w:tc>
          <w:tcPr>
            <w:tcW w:w="133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0.566</w:t>
            </w:r>
          </w:p>
        </w:tc>
        <w:tc>
          <w:tcPr>
            <w:tcW w:w="116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0.579</w:t>
            </w:r>
          </w:p>
        </w:tc>
      </w:tr>
      <w:tr>
        <w:trPr>
          <w:cantSplit/>
        </w:trPr>
        <w:tc>
          <w:tcPr>
            <w:tcW w:w="1111"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2013</w:t>
            </w:r>
          </w:p>
        </w:tc>
        <w:tc>
          <w:tcPr>
            <w:tcW w:w="158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0.797</w:t>
            </w:r>
          </w:p>
        </w:tc>
        <w:tc>
          <w:tcPr>
            <w:tcW w:w="144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0.372</w:t>
            </w:r>
          </w:p>
        </w:tc>
        <w:tc>
          <w:tcPr>
            <w:tcW w:w="145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0.349</w:t>
            </w:r>
          </w:p>
        </w:tc>
        <w:tc>
          <w:tcPr>
            <w:tcW w:w="164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1.433</w:t>
            </w:r>
          </w:p>
        </w:tc>
        <w:tc>
          <w:tcPr>
            <w:tcW w:w="133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0.488</w:t>
            </w:r>
          </w:p>
        </w:tc>
        <w:tc>
          <w:tcPr>
            <w:tcW w:w="1168"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0.491</w:t>
            </w:r>
          </w:p>
        </w:tc>
      </w:tr>
      <w:tr>
        <w:trPr>
          <w:cantSplit/>
        </w:trPr>
        <w:tc>
          <w:tcPr>
            <w:tcW w:w="1111"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2014</w:t>
            </w:r>
          </w:p>
        </w:tc>
        <w:tc>
          <w:tcPr>
            <w:tcW w:w="158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1.299</w:t>
            </w:r>
          </w:p>
        </w:tc>
        <w:tc>
          <w:tcPr>
            <w:tcW w:w="144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0.254</w:t>
            </w:r>
          </w:p>
        </w:tc>
        <w:tc>
          <w:tcPr>
            <w:tcW w:w="145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0.229</w:t>
            </w:r>
          </w:p>
        </w:tc>
        <w:tc>
          <w:tcPr>
            <w:tcW w:w="164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1.774</w:t>
            </w:r>
          </w:p>
        </w:tc>
        <w:tc>
          <w:tcPr>
            <w:tcW w:w="133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0.412</w:t>
            </w:r>
          </w:p>
        </w:tc>
        <w:tc>
          <w:tcPr>
            <w:tcW w:w="116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0.418</w:t>
            </w:r>
          </w:p>
        </w:tc>
      </w:tr>
      <w:tr>
        <w:trPr>
          <w:cantSplit/>
        </w:trPr>
        <w:tc>
          <w:tcPr>
            <w:tcW w:w="1111"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2015</w:t>
            </w:r>
          </w:p>
        </w:tc>
        <w:tc>
          <w:tcPr>
            <w:tcW w:w="158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0.598</w:t>
            </w:r>
          </w:p>
        </w:tc>
        <w:tc>
          <w:tcPr>
            <w:tcW w:w="144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0.439</w:t>
            </w:r>
          </w:p>
        </w:tc>
        <w:tc>
          <w:tcPr>
            <w:tcW w:w="145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0.449</w:t>
            </w:r>
          </w:p>
        </w:tc>
        <w:tc>
          <w:tcPr>
            <w:tcW w:w="164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 1.460</w:t>
            </w:r>
          </w:p>
        </w:tc>
        <w:tc>
          <w:tcPr>
            <w:tcW w:w="133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0.482</w:t>
            </w:r>
          </w:p>
        </w:tc>
        <w:tc>
          <w:tcPr>
            <w:tcW w:w="116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0.503</w:t>
            </w:r>
          </w:p>
        </w:tc>
      </w:tr>
      <w:tr>
        <w:trPr>
          <w:cantSplit/>
        </w:trPr>
        <w:tc>
          <w:tcPr>
            <w:tcW w:w="1111"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2016</w:t>
            </w:r>
          </w:p>
        </w:tc>
        <w:tc>
          <w:tcPr>
            <w:tcW w:w="158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5.229</w:t>
            </w:r>
          </w:p>
        </w:tc>
        <w:tc>
          <w:tcPr>
            <w:tcW w:w="144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0.022</w:t>
            </w:r>
          </w:p>
        </w:tc>
        <w:tc>
          <w:tcPr>
            <w:tcW w:w="145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0.022</w:t>
            </w:r>
          </w:p>
        </w:tc>
        <w:tc>
          <w:tcPr>
            <w:tcW w:w="164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 5.027</w:t>
            </w:r>
          </w:p>
        </w:tc>
        <w:tc>
          <w:tcPr>
            <w:tcW w:w="1335" w:type="dxa"/>
            <w:vAlign w:val="center"/>
          </w:tcPr>
          <w:p>
            <w:pPr>
              <w:spacing w:after="0" w:line="240" w:lineRule="auto"/>
              <w:jc w:val="center"/>
              <w:rPr>
                <w:rFonts w:ascii="Times New Roman" w:hAnsi="Times New Roman"/>
                <w:color w:val="000000"/>
                <w:sz w:val="24"/>
                <w:szCs w:val="24"/>
                <w:lang w:val="en-US"/>
              </w:rPr>
            </w:pPr>
            <w:r>
              <w:rPr>
                <w:rFonts w:ascii="Times New Roman" w:hAnsi="Times New Roman"/>
                <w:color w:val="000000"/>
                <w:sz w:val="24"/>
                <w:szCs w:val="24"/>
                <w:lang w:val="en-US"/>
              </w:rPr>
              <w:t xml:space="preserve">0.081</w:t>
            </w:r>
          </w:p>
        </w:tc>
        <w:tc>
          <w:tcPr>
            <w:tcW w:w="1168" w:type="dxa"/>
            <w:vAlign w:val="center"/>
          </w:tcPr>
          <w:p>
            <w:pPr>
              <w:spacing w:after="0" w:line="240" w:lineRule="auto"/>
              <w:jc w:val="center"/>
              <w:rPr>
                <w:rFonts w:ascii="Times New Roman" w:hAnsi="Times New Roman"/>
                <w:color w:val="000000"/>
                <w:sz w:val="24"/>
                <w:szCs w:val="24"/>
                <w:lang w:val="en-US"/>
              </w:rPr>
            </w:pPr>
            <w:r>
              <w:rPr>
                <w:rFonts w:ascii="Times New Roman" w:hAnsi="Times New Roman"/>
                <w:color w:val="000000"/>
                <w:sz w:val="24"/>
                <w:szCs w:val="24"/>
                <w:lang w:val="en-US"/>
              </w:rPr>
              <w:t xml:space="preserve">0.085</w:t>
            </w:r>
          </w:p>
        </w:tc>
      </w:tr>
      <w:tr>
        <w:trPr>
          <w:cantSplit/>
        </w:trPr>
        <w:tc>
          <w:tcPr>
            <w:tcW w:w="1111"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2017</w:t>
            </w:r>
          </w:p>
        </w:tc>
        <w:tc>
          <w:tcPr>
            <w:tcW w:w="158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5.289</w:t>
            </w:r>
          </w:p>
        </w:tc>
        <w:tc>
          <w:tcPr>
            <w:tcW w:w="144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0.021</w:t>
            </w:r>
          </w:p>
        </w:tc>
        <w:tc>
          <w:tcPr>
            <w:tcW w:w="145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0.028</w:t>
            </w:r>
          </w:p>
        </w:tc>
        <w:tc>
          <w:tcPr>
            <w:tcW w:w="164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5.099</w:t>
            </w:r>
          </w:p>
        </w:tc>
        <w:tc>
          <w:tcPr>
            <w:tcW w:w="1335" w:type="dxa"/>
            <w:vAlign w:val="center"/>
          </w:tcPr>
          <w:p>
            <w:pPr>
              <w:spacing w:after="0" w:line="240" w:lineRule="auto"/>
              <w:jc w:val="center"/>
              <w:rPr>
                <w:rFonts w:ascii="Times New Roman" w:hAnsi="Times New Roman"/>
                <w:color w:val="000000"/>
                <w:sz w:val="24"/>
                <w:szCs w:val="24"/>
                <w:lang w:val="en-US"/>
              </w:rPr>
            </w:pPr>
            <w:r>
              <w:rPr>
                <w:rFonts w:ascii="Times New Roman" w:hAnsi="Times New Roman"/>
                <w:color w:val="000000"/>
                <w:sz w:val="24"/>
                <w:szCs w:val="24"/>
                <w:lang w:val="en-US"/>
              </w:rPr>
              <w:t xml:space="preserve">0.078</w:t>
            </w:r>
          </w:p>
        </w:tc>
        <w:tc>
          <w:tcPr>
            <w:tcW w:w="1168" w:type="dxa"/>
            <w:vAlign w:val="center"/>
          </w:tcPr>
          <w:p>
            <w:pPr>
              <w:spacing w:after="0" w:line="240" w:lineRule="auto"/>
              <w:jc w:val="center"/>
              <w:rPr>
                <w:rFonts w:ascii="Times New Roman" w:hAnsi="Times New Roman"/>
                <w:color w:val="000000"/>
                <w:sz w:val="24"/>
                <w:szCs w:val="24"/>
                <w:lang w:val="en-US"/>
              </w:rPr>
            </w:pPr>
            <w:r>
              <w:rPr>
                <w:rFonts w:ascii="Times New Roman" w:hAnsi="Times New Roman"/>
                <w:color w:val="000000"/>
                <w:sz w:val="24"/>
                <w:szCs w:val="24"/>
                <w:lang w:val="en-US"/>
              </w:rPr>
              <w:t xml:space="preserve">0.087</w:t>
            </w:r>
          </w:p>
        </w:tc>
      </w:tr>
      <w:tr>
        <w:trPr>
          <w:cantSplit/>
          <w:trHeight w:val="250" w:hRule="atLeast"/>
        </w:trPr>
        <w:tc>
          <w:tcPr>
            <w:tcW w:w="1111"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2018</w:t>
            </w:r>
          </w:p>
        </w:tc>
        <w:tc>
          <w:tcPr>
            <w:tcW w:w="158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8.725</w:t>
            </w:r>
          </w:p>
        </w:tc>
        <w:tc>
          <w:tcPr>
            <w:tcW w:w="144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0.003</w:t>
            </w:r>
          </w:p>
        </w:tc>
        <w:tc>
          <w:tcPr>
            <w:tcW w:w="145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0.005</w:t>
            </w:r>
          </w:p>
        </w:tc>
        <w:tc>
          <w:tcPr>
            <w:tcW w:w="164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8.825</w:t>
            </w:r>
          </w:p>
        </w:tc>
        <w:tc>
          <w:tcPr>
            <w:tcW w:w="1335" w:type="dxa"/>
            <w:vAlign w:val="center"/>
          </w:tcPr>
          <w:p>
            <w:pPr>
              <w:pStyle w:val="Ttulo1"/>
              <w:spacing w:before="0" w:beforeAutospacing="0" w:after="0" w:afterAutospacing="0"/>
              <w:jc w:val="center"/>
              <w:rPr>
                <w:b w:val="0"/>
                <w:bCs w:val="0"/>
                <w:color w:val="000000"/>
                <w:sz w:val="24"/>
                <w:szCs w:val="24"/>
                <w:lang w:val="en-US"/>
              </w:rPr>
            </w:pPr>
            <w:r>
              <w:rPr>
                <w:b w:val="0"/>
                <w:bCs w:val="0"/>
                <w:color w:val="000000"/>
                <w:sz w:val="24"/>
                <w:szCs w:val="24"/>
                <w:lang w:val="en-US"/>
              </w:rPr>
              <w:t xml:space="preserve">0.012</w:t>
            </w:r>
          </w:p>
        </w:tc>
        <w:tc>
          <w:tcPr>
            <w:tcW w:w="1168" w:type="dxa"/>
            <w:vAlign w:val="center"/>
          </w:tcPr>
          <w:p>
            <w:pPr>
              <w:pStyle w:val="Ttulo1"/>
              <w:spacing w:before="0" w:beforeAutospacing="0" w:after="0" w:afterAutospacing="0"/>
              <w:jc w:val="center"/>
              <w:rPr>
                <w:b w:val="0"/>
                <w:bCs w:val="0"/>
                <w:color w:val="000000"/>
                <w:sz w:val="24"/>
                <w:szCs w:val="24"/>
                <w:lang w:val="en-US"/>
              </w:rPr>
            </w:pPr>
            <w:r>
              <w:rPr>
                <w:b w:val="0"/>
                <w:bCs w:val="0"/>
                <w:color w:val="000000"/>
                <w:sz w:val="24"/>
                <w:szCs w:val="24"/>
                <w:lang w:val="en-US"/>
              </w:rPr>
              <w:t xml:space="preserve">0.017</w:t>
            </w:r>
          </w:p>
        </w:tc>
      </w:tr>
      <w:tr>
        <w:trPr>
          <w:cantSplit/>
        </w:trPr>
        <w:tc>
          <w:tcPr>
            <w:tcW w:w="1111"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2019</w:t>
            </w:r>
          </w:p>
        </w:tc>
        <w:tc>
          <w:tcPr>
            <w:tcW w:w="158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8.861</w:t>
            </w:r>
          </w:p>
        </w:tc>
        <w:tc>
          <w:tcPr>
            <w:tcW w:w="144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0.003</w:t>
            </w:r>
          </w:p>
        </w:tc>
        <w:tc>
          <w:tcPr>
            <w:tcW w:w="145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0.003</w:t>
            </w:r>
          </w:p>
        </w:tc>
        <w:tc>
          <w:tcPr>
            <w:tcW w:w="164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9.411</w:t>
            </w:r>
          </w:p>
        </w:tc>
        <w:tc>
          <w:tcPr>
            <w:tcW w:w="133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0.009</w:t>
            </w:r>
          </w:p>
        </w:tc>
        <w:tc>
          <w:tcPr>
            <w:tcW w:w="116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0.010</w:t>
            </w:r>
          </w:p>
        </w:tc>
      </w:tr>
      <w:tr>
        <w:trPr>
          <w:cantSplit/>
        </w:trPr>
        <w:tc>
          <w:tcPr>
            <w:tcW w:w="1111"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2020</w:t>
            </w:r>
          </w:p>
        </w:tc>
        <w:tc>
          <w:tcPr>
            <w:tcW w:w="158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4.627</w:t>
            </w:r>
          </w:p>
        </w:tc>
        <w:tc>
          <w:tcPr>
            <w:tcW w:w="144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0.031</w:t>
            </w:r>
          </w:p>
        </w:tc>
        <w:tc>
          <w:tcPr>
            <w:tcW w:w="145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0.032</w:t>
            </w:r>
          </w:p>
        </w:tc>
        <w:tc>
          <w:tcPr>
            <w:tcW w:w="164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4.485</w:t>
            </w:r>
          </w:p>
        </w:tc>
        <w:tc>
          <w:tcPr>
            <w:tcW w:w="133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0.106</w:t>
            </w:r>
          </w:p>
        </w:tc>
        <w:tc>
          <w:tcPr>
            <w:tcW w:w="116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0.106</w:t>
            </w:r>
          </w:p>
        </w:tc>
      </w:tr>
      <w:tr>
        <w:trPr>
          <w:cantSplit/>
        </w:trPr>
        <w:tc>
          <w:tcPr>
            <w:tcW w:w="1111"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2021</w:t>
            </w:r>
          </w:p>
        </w:tc>
        <w:tc>
          <w:tcPr>
            <w:tcW w:w="158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3.001</w:t>
            </w:r>
          </w:p>
        </w:tc>
        <w:tc>
          <w:tcPr>
            <w:tcW w:w="144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0.083</w:t>
            </w:r>
          </w:p>
        </w:tc>
        <w:tc>
          <w:tcPr>
            <w:tcW w:w="145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0.071</w:t>
            </w:r>
          </w:p>
        </w:tc>
        <w:tc>
          <w:tcPr>
            <w:tcW w:w="164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2.953</w:t>
            </w:r>
          </w:p>
        </w:tc>
        <w:tc>
          <w:tcPr>
            <w:tcW w:w="133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0.228</w:t>
            </w:r>
          </w:p>
        </w:tc>
        <w:tc>
          <w:tcPr>
            <w:tcW w:w="116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0.232</w:t>
            </w:r>
          </w:p>
        </w:tc>
      </w:tr>
      <w:tr>
        <w:trPr>
          <w:cantSplit/>
        </w:trPr>
        <w:tc>
          <w:tcPr>
            <w:tcW w:w="1111"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2022</w:t>
            </w:r>
          </w:p>
        </w:tc>
        <w:tc>
          <w:tcPr>
            <w:tcW w:w="158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6.191</w:t>
            </w:r>
          </w:p>
        </w:tc>
        <w:tc>
          <w:tcPr>
            <w:tcW w:w="144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0.013</w:t>
            </w:r>
          </w:p>
        </w:tc>
        <w:tc>
          <w:tcPr>
            <w:tcW w:w="145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0.009</w:t>
            </w:r>
          </w:p>
        </w:tc>
        <w:tc>
          <w:tcPr>
            <w:tcW w:w="164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6.498</w:t>
            </w:r>
          </w:p>
        </w:tc>
        <w:tc>
          <w:tcPr>
            <w:tcW w:w="133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0.039</w:t>
            </w:r>
          </w:p>
        </w:tc>
        <w:tc>
          <w:tcPr>
            <w:tcW w:w="116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0.035</w:t>
            </w:r>
          </w:p>
        </w:tc>
      </w:tr>
      <w:tr>
        <w:trPr>
          <w:cantSplit/>
        </w:trPr>
        <w:tc>
          <w:tcPr>
            <w:tcW w:w="1111"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2023</w:t>
            </w:r>
          </w:p>
        </w:tc>
        <w:tc>
          <w:tcPr>
            <w:tcW w:w="158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4.885</w:t>
            </w:r>
          </w:p>
        </w:tc>
        <w:tc>
          <w:tcPr>
            <w:tcW w:w="144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0.027</w:t>
            </w:r>
          </w:p>
        </w:tc>
        <w:tc>
          <w:tcPr>
            <w:tcW w:w="145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0.019</w:t>
            </w:r>
          </w:p>
        </w:tc>
        <w:tc>
          <w:tcPr>
            <w:tcW w:w="164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4.906</w:t>
            </w:r>
          </w:p>
        </w:tc>
        <w:tc>
          <w:tcPr>
            <w:tcW w:w="133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0.086</w:t>
            </w:r>
          </w:p>
        </w:tc>
        <w:tc>
          <w:tcPr>
            <w:tcW w:w="116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0.088</w:t>
            </w:r>
          </w:p>
        </w:tc>
      </w:tr>
      <w:tr>
        <w:trPr>
          <w:cantSplit/>
        </w:trPr>
        <w:tc>
          <w:tcPr>
            <w:tcW w:w="1111"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2024</w:t>
            </w:r>
          </w:p>
        </w:tc>
        <w:tc>
          <w:tcPr>
            <w:tcW w:w="1581"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1.164</w:t>
            </w:r>
          </w:p>
        </w:tc>
        <w:tc>
          <w:tcPr>
            <w:tcW w:w="1443"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0.281</w:t>
            </w:r>
          </w:p>
        </w:tc>
        <w:tc>
          <w:tcPr>
            <w:tcW w:w="145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0.265</w:t>
            </w:r>
          </w:p>
        </w:tc>
        <w:tc>
          <w:tcPr>
            <w:tcW w:w="1644"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1.925</w:t>
            </w:r>
          </w:p>
        </w:tc>
        <w:tc>
          <w:tcPr>
            <w:tcW w:w="133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0.382</w:t>
            </w:r>
          </w:p>
        </w:tc>
        <w:tc>
          <w:tcPr>
            <w:tcW w:w="116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0.400</w:t>
            </w:r>
          </w:p>
        </w:tc>
      </w:tr>
    </w:tbl>
    <w:p>
      <w:pPr>
        <w:spacing w:before="80" w:after="120" w:line="240" w:lineRule="auto"/>
        <w:jc w:val="both"/>
        <w:rPr>
          <w:rFonts w:ascii="Times New Roman" w:hAnsi="Times New Roman"/>
          <w:lang w:val="en-US"/>
        </w:rPr>
      </w:pPr>
      <w:r>
        <w:rPr>
          <w:rFonts w:ascii="Times New Roman" w:hAnsi="Times New Roman"/>
          <w:sz w:val="20"/>
          <w:szCs w:val="20"/>
          <w:lang w:val="en-US"/>
        </w:rPr>
        <w:t xml:space="preserve">Notes: LMp tests H₀: σ = μ (Pareto type I within Pareto type II, χ²(1)); LMz tests H₀: σ = μ and α = 1 (Zipf within Pareto type II, χ²(2)). Both tests use the smallest included revenue as the cutoff. Asymptotic probabilities are chi-squared upper-tail probabilities. Bootstrap probabilities use 999 parametric replications and the correction (k + 1)/(999 + 1), where k is the number of simulated statistics at least as large as the observed statistic. The retained historical Python calculation uses seed 20260701 for LMp and a separate stream with seed 20260702 for LMz; the exponent under the LMp null is the restricted estimate, while LMz imposes α = 1. The simulated sample minimum is re-estimated in every replication. Recomputed bootstrap values in the V12 main_tests.csv use seed 20260923 and constitute a separate Monte Carlo run.</w:t>
      </w:r>
    </w:p>
    <w:p>
      <w:pPr>
        <w:keepNext/>
        <w:pageBreakBefore/>
        <w:spacing w:before="120" w:after="120" w:line="240" w:lineRule="auto"/>
        <w:jc w:val="center"/>
        <w:rPr>
          <w:rFonts w:ascii="Times New Roman" w:hAnsi="Times New Roman" w:eastAsia="Times New Roman"/>
          <w:b/>
          <w:bCs/>
          <w:color w:val="000000"/>
          <w:sz w:val="24"/>
          <w:szCs w:val="24"/>
          <w:highlight w:val="none"/>
          <w:lang w:val="en-US"/>
        </w:rPr>
      </w:pPr>
      <w:r>
        <w:rPr>
          <w:rFonts w:ascii="Times New Roman" w:hAnsi="Times New Roman" w:eastAsia="Times New Roman"/>
          <w:b/>
          <w:bCs/>
          <w:color w:val="000000"/>
          <w:sz w:val="24"/>
          <w:szCs w:val="24"/>
          <w:highlight w:val="none"/>
          <w:lang w:val="en-US"/>
        </w:rPr>
        <w:t xml:space="preserve">Table 4</w:t>
      </w:r>
    </w:p>
    <w:p>
      <w:pPr>
        <w:keepNext/>
        <w:spacing w:before="120" w:after="120" w:line="240" w:lineRule="auto"/>
        <w:jc w:val="center"/>
        <w:rPr>
          <w:rFonts w:ascii="Times New Roman" w:hAnsi="Times New Roman"/>
          <w:sz w:val="24"/>
          <w:szCs w:val="24"/>
          <w:lang w:val="en-US"/>
        </w:rPr>
      </w:pPr>
      <w:r>
        <w:rPr>
          <w:rFonts w:ascii="Times New Roman" w:hAnsi="Times New Roman" w:eastAsia="Times New Roman"/>
          <w:b/>
          <w:bCs/>
          <w:color w:val="000000"/>
          <w:sz w:val="24"/>
          <w:szCs w:val="24"/>
          <w:lang w:val="en-US"/>
        </w:rPr>
        <w:t xml:space="preserve">Cutoff sensitivity of exact Pareto type I tests across 26 annual rankings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8"/>
        <w:gridCol w:w="1000"/>
        <w:gridCol w:w="1908"/>
        <w:gridCol w:w="1598"/>
        <w:gridCol w:w="1598"/>
        <w:gridCol w:w="1673"/>
      </w:tblGrid>
      <w:tr>
        <w:trPr>
          <w:cantSplit/>
          <w:trHeight w:val="588" w:hRule="atLeast"/>
          <w:tblHeader/>
        </w:trPr>
        <w:tc>
          <w:tcPr>
            <w:tcW w:w="14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b/>
                <w:bCs/>
                <w:color w:val="000000"/>
                <w:sz w:val="24"/>
                <w:szCs w:val="24"/>
                <w:lang w:val="en-US"/>
              </w:rPr>
              <w:t xml:space="preserve">Top n</w:t>
            </w:r>
          </w:p>
        </w:tc>
        <w:tc>
          <w:tcPr>
            <w:tcW w:w="10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b/>
                <w:bCs/>
                <w:color w:val="000000"/>
                <w:sz w:val="24"/>
                <w:szCs w:val="24"/>
                <w:lang w:val="en-US"/>
              </w:rPr>
              <w:t xml:space="preserve">Years</w:t>
            </w:r>
          </w:p>
        </w:tc>
        <w:tc>
          <w:tcPr>
            <w:tcW w:w="19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b/>
                <w:bCs/>
                <w:color w:val="000000"/>
                <w:sz w:val="24"/>
                <w:szCs w:val="24"/>
                <w:lang w:val="en-US"/>
              </w:rPr>
              <w:t xml:space="preserve">LMp rejects</w:t>
            </w:r>
          </w:p>
        </w:tc>
        <w:tc>
          <w:tcPr>
            <w:tcW w:w="16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b/>
                <w:bCs/>
                <w:color w:val="000000"/>
                <w:sz w:val="24"/>
                <w:szCs w:val="24"/>
                <w:lang w:val="en-US"/>
              </w:rPr>
              <w:t xml:space="preserve">Mean α</w:t>
            </w:r>
          </w:p>
        </w:tc>
        <w:tc>
          <w:tcPr>
            <w:tcW w:w="16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b/>
                <w:bCs/>
                <w:color w:val="000000"/>
                <w:sz w:val="24"/>
                <w:szCs w:val="24"/>
                <w:lang w:val="en-US"/>
              </w:rPr>
              <w:t xml:space="preserve">Min α</w:t>
            </w:r>
          </w:p>
        </w:tc>
        <w:tc>
          <w:tcPr>
            <w:tcW w:w="167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b/>
                <w:bCs/>
                <w:color w:val="000000"/>
                <w:sz w:val="24"/>
                <w:szCs w:val="24"/>
                <w:lang w:val="en-US"/>
              </w:rPr>
              <w:t xml:space="preserve">Max α</w:t>
            </w:r>
          </w:p>
        </w:tc>
      </w:tr>
      <w:tr>
        <w:trPr>
          <w:cantSplit/>
          <w:trHeight w:val="323" w:hRule="atLeast"/>
        </w:trPr>
        <w:tc>
          <w:tcPr>
            <w:tcW w:w="14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50</w:t>
            </w:r>
          </w:p>
        </w:tc>
        <w:tc>
          <w:tcPr>
            <w:tcW w:w="10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26</w:t>
            </w:r>
          </w:p>
        </w:tc>
        <w:tc>
          <w:tcPr>
            <w:tcW w:w="19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w:t>
            </w:r>
          </w:p>
        </w:tc>
        <w:tc>
          <w:tcPr>
            <w:tcW w:w="16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1.311</w:t>
            </w:r>
          </w:p>
        </w:tc>
        <w:tc>
          <w:tcPr>
            <w:tcW w:w="16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1.065</w:t>
            </w:r>
          </w:p>
        </w:tc>
        <w:tc>
          <w:tcPr>
            <w:tcW w:w="167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1.589</w:t>
            </w:r>
          </w:p>
        </w:tc>
      </w:tr>
      <w:tr>
        <w:trPr>
          <w:cantSplit/>
          <w:trHeight w:val="323" w:hRule="atLeast"/>
        </w:trPr>
        <w:tc>
          <w:tcPr>
            <w:tcW w:w="14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75</w:t>
            </w:r>
          </w:p>
        </w:tc>
        <w:tc>
          <w:tcPr>
            <w:tcW w:w="10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26</w:t>
            </w:r>
          </w:p>
        </w:tc>
        <w:tc>
          <w:tcPr>
            <w:tcW w:w="19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8</w:t>
            </w:r>
          </w:p>
        </w:tc>
        <w:tc>
          <w:tcPr>
            <w:tcW w:w="16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1.172</w:t>
            </w:r>
          </w:p>
        </w:tc>
        <w:tc>
          <w:tcPr>
            <w:tcW w:w="16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1.061</w:t>
            </w:r>
          </w:p>
        </w:tc>
        <w:tc>
          <w:tcPr>
            <w:tcW w:w="167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1.272</w:t>
            </w:r>
          </w:p>
        </w:tc>
      </w:tr>
      <w:tr>
        <w:trPr>
          <w:cantSplit/>
          <w:trHeight w:val="323" w:hRule="atLeast"/>
        </w:trPr>
        <w:tc>
          <w:tcPr>
            <w:tcW w:w="14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100</w:t>
            </w:r>
          </w:p>
        </w:tc>
        <w:tc>
          <w:tcPr>
            <w:tcW w:w="10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26</w:t>
            </w:r>
          </w:p>
        </w:tc>
        <w:tc>
          <w:tcPr>
            <w:tcW w:w="19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9</w:t>
            </w:r>
          </w:p>
        </w:tc>
        <w:tc>
          <w:tcPr>
            <w:tcW w:w="16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1.129</w:t>
            </w:r>
          </w:p>
        </w:tc>
        <w:tc>
          <w:tcPr>
            <w:tcW w:w="16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0.940</w:t>
            </w:r>
          </w:p>
        </w:tc>
        <w:tc>
          <w:tcPr>
            <w:tcW w:w="167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1.325</w:t>
            </w:r>
          </w:p>
        </w:tc>
      </w:tr>
      <w:tr>
        <w:trPr>
          <w:cantSplit/>
          <w:trHeight w:val="323" w:hRule="atLeast"/>
        </w:trPr>
        <w:tc>
          <w:tcPr>
            <w:tcW w:w="14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125</w:t>
            </w:r>
          </w:p>
        </w:tc>
        <w:tc>
          <w:tcPr>
            <w:tcW w:w="10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26</w:t>
            </w:r>
          </w:p>
        </w:tc>
        <w:tc>
          <w:tcPr>
            <w:tcW w:w="19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5</w:t>
            </w:r>
          </w:p>
        </w:tc>
        <w:tc>
          <w:tcPr>
            <w:tcW w:w="16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1.126</w:t>
            </w:r>
          </w:p>
        </w:tc>
        <w:tc>
          <w:tcPr>
            <w:tcW w:w="16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0.950</w:t>
            </w:r>
          </w:p>
        </w:tc>
        <w:tc>
          <w:tcPr>
            <w:tcW w:w="167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1.321</w:t>
            </w:r>
          </w:p>
        </w:tc>
      </w:tr>
      <w:tr>
        <w:trPr>
          <w:cantSplit/>
          <w:trHeight w:val="323" w:hRule="atLeast"/>
        </w:trPr>
        <w:tc>
          <w:tcPr>
            <w:tcW w:w="14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150</w:t>
            </w:r>
          </w:p>
        </w:tc>
        <w:tc>
          <w:tcPr>
            <w:tcW w:w="10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26</w:t>
            </w:r>
          </w:p>
        </w:tc>
        <w:tc>
          <w:tcPr>
            <w:tcW w:w="19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w:t>
            </w:r>
          </w:p>
        </w:tc>
        <w:tc>
          <w:tcPr>
            <w:tcW w:w="16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1.120</w:t>
            </w:r>
          </w:p>
        </w:tc>
        <w:tc>
          <w:tcPr>
            <w:tcW w:w="16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0.975</w:t>
            </w:r>
          </w:p>
        </w:tc>
        <w:tc>
          <w:tcPr>
            <w:tcW w:w="167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1.284</w:t>
            </w:r>
          </w:p>
        </w:tc>
      </w:tr>
      <w:tr>
        <w:trPr>
          <w:cantSplit/>
          <w:trHeight w:val="323" w:hRule="atLeast"/>
        </w:trPr>
        <w:tc>
          <w:tcPr>
            <w:tcW w:w="14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200</w:t>
            </w:r>
          </w:p>
        </w:tc>
        <w:tc>
          <w:tcPr>
            <w:tcW w:w="10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26</w:t>
            </w:r>
          </w:p>
        </w:tc>
        <w:tc>
          <w:tcPr>
            <w:tcW w:w="19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w:t>
            </w:r>
          </w:p>
        </w:tc>
        <w:tc>
          <w:tcPr>
            <w:tcW w:w="16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1.110</w:t>
            </w:r>
          </w:p>
        </w:tc>
        <w:tc>
          <w:tcPr>
            <w:tcW w:w="16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0.993</w:t>
            </w:r>
          </w:p>
        </w:tc>
        <w:tc>
          <w:tcPr>
            <w:tcW w:w="167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1.297</w:t>
            </w:r>
          </w:p>
        </w:tc>
      </w:tr>
      <w:tr>
        <w:trPr>
          <w:cantSplit/>
          <w:trHeight w:val="323" w:hRule="atLeast"/>
        </w:trPr>
        <w:tc>
          <w:tcPr>
            <w:tcW w:w="14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300</w:t>
            </w:r>
          </w:p>
        </w:tc>
        <w:tc>
          <w:tcPr>
            <w:tcW w:w="10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26</w:t>
            </w:r>
          </w:p>
        </w:tc>
        <w:tc>
          <w:tcPr>
            <w:tcW w:w="19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10</w:t>
            </w:r>
          </w:p>
        </w:tc>
        <w:tc>
          <w:tcPr>
            <w:tcW w:w="16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1.035</w:t>
            </w:r>
          </w:p>
        </w:tc>
        <w:tc>
          <w:tcPr>
            <w:tcW w:w="16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0.823</w:t>
            </w:r>
          </w:p>
        </w:tc>
        <w:tc>
          <w:tcPr>
            <w:tcW w:w="167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1.216</w:t>
            </w:r>
          </w:p>
        </w:tc>
      </w:tr>
      <w:tr>
        <w:trPr>
          <w:cantSplit/>
          <w:trHeight w:val="323" w:hRule="atLeast"/>
        </w:trPr>
        <w:tc>
          <w:tcPr>
            <w:tcW w:w="14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500</w:t>
            </w:r>
          </w:p>
        </w:tc>
        <w:tc>
          <w:tcPr>
            <w:tcW w:w="10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26</w:t>
            </w:r>
          </w:p>
        </w:tc>
        <w:tc>
          <w:tcPr>
            <w:tcW w:w="19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23</w:t>
            </w:r>
          </w:p>
        </w:tc>
        <w:tc>
          <w:tcPr>
            <w:tcW w:w="16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0.948</w:t>
            </w:r>
          </w:p>
        </w:tc>
        <w:tc>
          <w:tcPr>
            <w:tcW w:w="16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0.848</w:t>
            </w:r>
          </w:p>
        </w:tc>
        <w:tc>
          <w:tcPr>
            <w:tcW w:w="167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1.058</w:t>
            </w:r>
          </w:p>
        </w:tc>
      </w:tr>
      <w:tr>
        <w:trPr>
          <w:cantSplit/>
          <w:trHeight w:val="323" w:hRule="atLeast"/>
        </w:trPr>
        <w:tc>
          <w:tcPr>
            <w:tcW w:w="14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750</w:t>
            </w:r>
          </w:p>
        </w:tc>
        <w:tc>
          <w:tcPr>
            <w:tcW w:w="10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26</w:t>
            </w:r>
          </w:p>
        </w:tc>
        <w:tc>
          <w:tcPr>
            <w:tcW w:w="19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26</w:t>
            </w:r>
          </w:p>
        </w:tc>
        <w:tc>
          <w:tcPr>
            <w:tcW w:w="16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0.884</w:t>
            </w:r>
          </w:p>
        </w:tc>
        <w:tc>
          <w:tcPr>
            <w:tcW w:w="16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0.818</w:t>
            </w:r>
          </w:p>
        </w:tc>
        <w:tc>
          <w:tcPr>
            <w:tcW w:w="167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0.980</w:t>
            </w:r>
          </w:p>
        </w:tc>
      </w:tr>
      <w:tr>
        <w:trPr>
          <w:cantSplit/>
          <w:trHeight w:val="323" w:hRule="atLeast"/>
        </w:trPr>
        <w:tc>
          <w:tcPr>
            <w:tcW w:w="14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999</w:t>
            </w:r>
          </w:p>
        </w:tc>
        <w:tc>
          <w:tcPr>
            <w:tcW w:w="10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26</w:t>
            </w:r>
          </w:p>
        </w:tc>
        <w:tc>
          <w:tcPr>
            <w:tcW w:w="19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26</w:t>
            </w:r>
          </w:p>
        </w:tc>
        <w:tc>
          <w:tcPr>
            <w:tcW w:w="16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0.823</w:t>
            </w:r>
          </w:p>
        </w:tc>
        <w:tc>
          <w:tcPr>
            <w:tcW w:w="16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0.715</w:t>
            </w:r>
          </w:p>
        </w:tc>
        <w:tc>
          <w:tcPr>
            <w:tcW w:w="167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0.907</w:t>
            </w:r>
          </w:p>
        </w:tc>
      </w:tr>
    </w:tbl>
    <w:p>
      <w:pPr>
        <w:spacing w:before="80" w:after="120" w:line="240" w:lineRule="auto"/>
        <w:jc w:val="both"/>
      </w:pPr>
      <w:r>
        <w:rPr>
          <w:rFonts w:ascii="Times New Roman" w:hAnsi="Times New Roman"/>
          <w:sz w:val="20"/>
          <w:szCs w:val="20"/>
        </w:rPr>
        <w:t xml:space="preserve">Notes: The sample comprises the top n firms, with μ set to the revenue of rank n+1. Rejection counts use asymptotic LMp p &lt; 0.05; they are descriptive across a prespecified grid, not selection-adjusted test decisions. The n = 999 row uses the first 999 firms and rank 1000 as cutoff.</w:t>
      </w:r>
    </w:p>
    <w:p>
      <w:pPr>
        <w:keepNext/>
        <w:pageBreakBefore/>
        <w:spacing w:before="120" w:after="120" w:line="240" w:lineRule="auto"/>
        <w:jc w:val="center"/>
        <w:rPr>
          <w:rFonts w:ascii="Times New Roman" w:hAnsi="Times New Roman"/>
          <w:bCs/>
          <w:sz w:val="24"/>
          <w:szCs w:val="24"/>
          <w:highlight w:val="none"/>
          <w:lang w:val="en-US"/>
        </w:rPr>
      </w:pPr>
      <w:r>
        <w:rPr>
          <w:rFonts w:ascii="Times New Roman" w:hAnsi="Times New Roman"/>
          <w:b/>
          <w:bCs/>
          <w:sz w:val="24"/>
          <w:szCs w:val="24"/>
          <w:highlight w:val="none"/>
          <w:lang w:val="en-US"/>
        </w:rPr>
        <w:t xml:space="preserve">Table 5</w:t>
      </w:r>
    </w:p>
    <w:p>
      <w:pPr>
        <w:keepNext/>
        <w:spacing w:before="120" w:after="120" w:line="240" w:lineRule="auto"/>
        <w:jc w:val="center"/>
        <w:rPr>
          <w:rFonts w:ascii="Times New Roman" w:hAnsi="Times New Roman"/>
          <w:b/>
          <w:sz w:val="24"/>
          <w:szCs w:val="24"/>
          <w:lang w:val="en-US"/>
        </w:rPr>
      </w:pPr>
      <w:r>
        <w:rPr>
          <w:rFonts w:ascii="Times New Roman" w:hAnsi="Times New Roman"/>
          <w:b/>
          <w:sz w:val="24"/>
          <w:szCs w:val="24"/>
          <w:lang w:val="en-US"/>
        </w:rPr>
        <w:t xml:space="preserve">Lagrange multiplier tests (LM) for restricted Pareto type IV distributions for the 100 largest firms in Brazil – 1999–2024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1"/>
        <w:gridCol w:w="2381"/>
        <w:gridCol w:w="2310"/>
        <w:gridCol w:w="2193"/>
      </w:tblGrid>
      <w:tr>
        <w:trPr>
          <w:cantSplit/>
          <w:tblHeader/>
        </w:trPr>
        <w:tc>
          <w:tcPr>
            <w:tcW w:w="2438" w:type="dxa"/>
            <w:vMerge w:val="restart"/>
            <w:vAlign w:val="center"/>
          </w:tcPr>
          <w:p>
            <w:pPr>
              <w:pStyle w:val="Ttulo1"/>
              <w:spacing w:before="0" w:after="0"/>
              <w:jc w:val="center"/>
              <w:rPr>
                <w:bCs w:val="0"/>
                <w:sz w:val="24"/>
                <w:szCs w:val="24"/>
                <w:lang w:val="en-US"/>
              </w:rPr>
            </w:pPr>
            <w:r>
              <w:rPr>
                <w:bCs w:val="0"/>
                <w:sz w:val="24"/>
                <w:szCs w:val="24"/>
                <w:lang w:val="en-US"/>
              </w:rPr>
              <w:t xml:space="preserve">Year</w:t>
            </w:r>
          </w:p>
        </w:tc>
        <w:tc>
          <w:tcPr>
            <w:tcW w:w="7298" w:type="dxa"/>
            <w:gridSpan w:val="3"/>
            <w:vAlign w:val="center"/>
          </w:tcPr>
          <w:p>
            <w:pPr>
              <w:pStyle w:val="Ttulo1"/>
              <w:spacing w:before="0" w:beforeAutospacing="0" w:after="0" w:afterAutospacing="0"/>
              <w:jc w:val="center"/>
              <w:rPr>
                <w:bCs w:val="0"/>
                <w:sz w:val="24"/>
                <w:szCs w:val="24"/>
                <w:lang w:val="en-US"/>
              </w:rPr>
            </w:pPr>
            <w:r>
              <w:rPr>
                <w:bCs w:val="0"/>
                <w:sz w:val="24"/>
                <w:szCs w:val="24"/>
                <w:lang w:val="en-US"/>
              </w:rPr>
              <w:t xml:space="preserve">PWL [H</w:t>
            </w:r>
            <w:r>
              <w:rPr>
                <w:bCs w:val="0"/>
                <w:sz w:val="24"/>
                <w:szCs w:val="24"/>
                <w:vertAlign w:val="subscript"/>
                <w:lang w:val="en-US"/>
              </w:rPr>
              <w:t xml:space="preserve">0</w:t>
            </w:r>
            <w:r>
              <w:rPr>
                <w:bCs w:val="0"/>
                <w:sz w:val="24"/>
                <w:szCs w:val="24"/>
                <w:lang w:val="en-US"/>
              </w:rPr>
              <w:t xml:space="preserve">: </w:t>
            </w:r>
            <w:r>
              <w:rPr>
                <w:rFonts w:eastAsia="Arial"/>
                <w:bCs w:val="0"/>
                <w:sz w:val="24"/>
                <w:szCs w:val="24"/>
                <w:lang w:val="en-US"/>
              </w:rPr>
              <w:t xml:space="preserve">σ</w:t>
            </w:r>
            <w:r>
              <w:rPr>
                <w:bCs w:val="0"/>
                <w:sz w:val="24"/>
                <w:szCs w:val="24"/>
                <w:lang w:val="en-US"/>
              </w:rPr>
              <w:t xml:space="preserve"> = </w:t>
            </w:r>
            <w:r>
              <w:rPr>
                <w:rFonts w:eastAsia="Arial"/>
                <w:bCs w:val="0"/>
                <w:sz w:val="24"/>
                <w:szCs w:val="24"/>
                <w:lang w:val="en-US"/>
              </w:rPr>
              <w:t xml:space="preserve">μ</w:t>
            </w:r>
            <w:r>
              <w:rPr>
                <w:bCs w:val="0"/>
                <w:sz w:val="24"/>
                <w:szCs w:val="24"/>
                <w:lang w:val="en-US"/>
              </w:rPr>
              <w:t xml:space="preserve"> , </w:t>
            </w:r>
            <w:r>
              <w:rPr>
                <w:rFonts w:eastAsia="Arial"/>
                <w:bCs w:val="0"/>
                <w:sz w:val="24"/>
                <w:szCs w:val="24"/>
                <w:lang w:val="en-US"/>
              </w:rPr>
              <w:t xml:space="preserve">γ</w:t>
            </w:r>
            <w:r>
              <w:rPr>
                <w:bCs w:val="0"/>
                <w:sz w:val="24"/>
                <w:szCs w:val="24"/>
                <w:lang w:val="en-US"/>
              </w:rPr>
              <w:t xml:space="preserve"> = 1]</w:t>
            </w:r>
          </w:p>
        </w:tc>
      </w:tr>
      <w:tr>
        <w:trPr>
          <w:cantSplit/>
          <w:tblHeader/>
        </w:trPr>
        <w:tc>
          <w:tcPr>
            <w:tcW w:w="2438" w:type="dxa"/>
            <w:vMerge/>
          </w:tcPr>
          <w:p>
            <w:pPr>
              <w:pStyle w:val="Ttulo1"/>
              <w:spacing w:before="0" w:beforeAutospacing="0" w:after="240" w:afterAutospacing="0"/>
              <w:rPr>
                <w:bCs w:val="0"/>
                <w:sz w:val="24"/>
                <w:szCs w:val="24"/>
              </w:rPr>
            </w:pPr>
          </w:p>
        </w:tc>
        <w:tc>
          <w:tcPr>
            <w:tcW w:w="2515"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test statistic</w:t>
            </w:r>
          </w:p>
        </w:tc>
        <w:tc>
          <w:tcPr>
            <w:tcW w:w="2455"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asy. p-value</w:t>
            </w:r>
          </w:p>
        </w:tc>
        <w:tc>
          <w:tcPr>
            <w:tcW w:w="2328" w:type="dxa"/>
            <w:vAlign w:val="center"/>
          </w:tcPr>
          <w:p>
            <w:pPr>
              <w:spacing w:after="0" w:line="240" w:lineRule="auto"/>
              <w:jc w:val="center"/>
              <w:rPr>
                <w:rFonts w:ascii="Times New Roman" w:hAnsi="Times New Roman"/>
                <w:sz w:val="24"/>
                <w:szCs w:val="24"/>
                <w:lang w:val="en-US"/>
              </w:rPr>
            </w:pPr>
            <w:r>
              <w:rPr>
                <w:rFonts w:ascii="Times New Roman" w:hAnsi="Times New Roman"/>
                <w:sz w:val="24"/>
                <w:szCs w:val="24"/>
                <w:lang w:val="en-US"/>
              </w:rPr>
              <w:t xml:space="preserve">boot. p-value</w:t>
            </w:r>
          </w:p>
        </w:tc>
      </w:tr>
      <w:tr>
        <w:trPr>
          <w:cantSplit/>
        </w:trPr>
        <w:tc>
          <w:tcPr>
            <w:tcW w:w="2438"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1999</w:t>
            </w:r>
          </w:p>
        </w:tc>
        <w:tc>
          <w:tcPr>
            <w:tcW w:w="251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0.564</w:t>
            </w:r>
          </w:p>
        </w:tc>
        <w:tc>
          <w:tcPr>
            <w:tcW w:w="245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0.754</w:t>
            </w:r>
          </w:p>
        </w:tc>
        <w:tc>
          <w:tcPr>
            <w:tcW w:w="2328" w:type="dxa"/>
            <w:vAlign w:val="center"/>
          </w:tcPr>
          <w:p>
            <w:pPr>
              <w:spacing w:after="0"/>
              <w:jc w:val="center"/>
              <w:rPr>
                <w:rFonts w:ascii="Times New Roman" w:hAnsi="Times New Roman"/>
                <w:sz w:val="24"/>
                <w:szCs w:val="24"/>
              </w:rPr>
            </w:pPr>
            <w:r>
              <w:rPr>
                <w:rFonts w:ascii="Times New Roman" w:hAnsi="Times New Roman"/>
                <w:sz w:val="24"/>
                <w:szCs w:val="24"/>
              </w:rPr>
              <w:t xml:space="preserve">0.752</w:t>
            </w:r>
          </w:p>
        </w:tc>
      </w:tr>
      <w:tr>
        <w:trPr>
          <w:cantSplit/>
        </w:trPr>
        <w:tc>
          <w:tcPr>
            <w:tcW w:w="2438"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2000</w:t>
            </w:r>
          </w:p>
        </w:tc>
        <w:tc>
          <w:tcPr>
            <w:tcW w:w="251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3.888</w:t>
            </w:r>
          </w:p>
        </w:tc>
        <w:tc>
          <w:tcPr>
            <w:tcW w:w="245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0.143</w:t>
            </w:r>
          </w:p>
        </w:tc>
        <w:tc>
          <w:tcPr>
            <w:tcW w:w="2328" w:type="dxa"/>
            <w:vAlign w:val="center"/>
          </w:tcPr>
          <w:p>
            <w:pPr>
              <w:spacing w:after="0"/>
              <w:jc w:val="center"/>
              <w:rPr>
                <w:rFonts w:ascii="Times New Roman" w:hAnsi="Times New Roman"/>
                <w:sz w:val="24"/>
                <w:szCs w:val="24"/>
              </w:rPr>
            </w:pPr>
            <w:r>
              <w:rPr>
                <w:rFonts w:ascii="Times New Roman" w:hAnsi="Times New Roman"/>
                <w:sz w:val="24"/>
                <w:szCs w:val="24"/>
              </w:rPr>
              <w:t xml:space="preserve">0.134</w:t>
            </w:r>
          </w:p>
        </w:tc>
      </w:tr>
      <w:tr>
        <w:trPr>
          <w:cantSplit/>
        </w:trPr>
        <w:tc>
          <w:tcPr>
            <w:tcW w:w="2438"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2001</w:t>
            </w:r>
          </w:p>
        </w:tc>
        <w:tc>
          <w:tcPr>
            <w:tcW w:w="251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5.650</w:t>
            </w:r>
          </w:p>
        </w:tc>
        <w:tc>
          <w:tcPr>
            <w:tcW w:w="245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0.059</w:t>
            </w:r>
          </w:p>
        </w:tc>
        <w:tc>
          <w:tcPr>
            <w:tcW w:w="2328" w:type="dxa"/>
            <w:vAlign w:val="center"/>
          </w:tcPr>
          <w:p>
            <w:pPr>
              <w:spacing w:after="0"/>
              <w:jc w:val="center"/>
              <w:rPr>
                <w:rFonts w:ascii="Times New Roman" w:hAnsi="Times New Roman"/>
                <w:sz w:val="24"/>
                <w:szCs w:val="24"/>
              </w:rPr>
            </w:pPr>
            <w:r>
              <w:rPr>
                <w:rFonts w:ascii="Times New Roman" w:hAnsi="Times New Roman"/>
                <w:sz w:val="24"/>
                <w:szCs w:val="24"/>
              </w:rPr>
              <w:t xml:space="preserve">0.054</w:t>
            </w:r>
          </w:p>
        </w:tc>
      </w:tr>
      <w:tr>
        <w:trPr>
          <w:cantSplit/>
        </w:trPr>
        <w:tc>
          <w:tcPr>
            <w:tcW w:w="2438"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2002</w:t>
            </w:r>
          </w:p>
        </w:tc>
        <w:tc>
          <w:tcPr>
            <w:tcW w:w="251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2.466</w:t>
            </w:r>
          </w:p>
        </w:tc>
        <w:tc>
          <w:tcPr>
            <w:tcW w:w="245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0.291</w:t>
            </w:r>
          </w:p>
        </w:tc>
        <w:tc>
          <w:tcPr>
            <w:tcW w:w="2328" w:type="dxa"/>
            <w:vAlign w:val="center"/>
          </w:tcPr>
          <w:p>
            <w:pPr>
              <w:spacing w:after="0"/>
              <w:jc w:val="center"/>
              <w:rPr>
                <w:rFonts w:ascii="Times New Roman" w:hAnsi="Times New Roman"/>
                <w:sz w:val="24"/>
                <w:szCs w:val="24"/>
              </w:rPr>
            </w:pPr>
            <w:r>
              <w:rPr>
                <w:rFonts w:ascii="Times New Roman" w:hAnsi="Times New Roman"/>
                <w:sz w:val="24"/>
                <w:szCs w:val="24"/>
              </w:rPr>
              <w:t xml:space="preserve">0.285</w:t>
            </w:r>
          </w:p>
        </w:tc>
      </w:tr>
      <w:tr>
        <w:trPr>
          <w:cantSplit/>
        </w:trPr>
        <w:tc>
          <w:tcPr>
            <w:tcW w:w="2438"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2003</w:t>
            </w:r>
          </w:p>
        </w:tc>
        <w:tc>
          <w:tcPr>
            <w:tcW w:w="251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3.500</w:t>
            </w:r>
          </w:p>
        </w:tc>
        <w:tc>
          <w:tcPr>
            <w:tcW w:w="245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0.174</w:t>
            </w:r>
          </w:p>
        </w:tc>
        <w:tc>
          <w:tcPr>
            <w:tcW w:w="2328" w:type="dxa"/>
            <w:vAlign w:val="center"/>
          </w:tcPr>
          <w:p>
            <w:pPr>
              <w:spacing w:after="0"/>
              <w:jc w:val="center"/>
              <w:rPr>
                <w:rFonts w:ascii="Times New Roman" w:hAnsi="Times New Roman"/>
                <w:sz w:val="24"/>
                <w:szCs w:val="24"/>
              </w:rPr>
            </w:pPr>
            <w:r>
              <w:rPr>
                <w:rFonts w:ascii="Times New Roman" w:hAnsi="Times New Roman"/>
                <w:sz w:val="24"/>
                <w:szCs w:val="24"/>
              </w:rPr>
              <w:t xml:space="preserve">0.175</w:t>
            </w:r>
          </w:p>
        </w:tc>
      </w:tr>
      <w:tr>
        <w:trPr>
          <w:cantSplit/>
        </w:trPr>
        <w:tc>
          <w:tcPr>
            <w:tcW w:w="2438"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2004</w:t>
            </w:r>
          </w:p>
        </w:tc>
        <w:tc>
          <w:tcPr>
            <w:tcW w:w="251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3.173</w:t>
            </w:r>
          </w:p>
        </w:tc>
        <w:tc>
          <w:tcPr>
            <w:tcW w:w="245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0.205</w:t>
            </w:r>
          </w:p>
        </w:tc>
        <w:tc>
          <w:tcPr>
            <w:tcW w:w="2328" w:type="dxa"/>
            <w:vAlign w:val="center"/>
          </w:tcPr>
          <w:p>
            <w:pPr>
              <w:spacing w:after="0"/>
              <w:jc w:val="center"/>
              <w:rPr>
                <w:rFonts w:ascii="Times New Roman" w:hAnsi="Times New Roman"/>
                <w:sz w:val="24"/>
                <w:szCs w:val="24"/>
              </w:rPr>
            </w:pPr>
            <w:r>
              <w:rPr>
                <w:rFonts w:ascii="Times New Roman" w:hAnsi="Times New Roman"/>
                <w:sz w:val="24"/>
                <w:szCs w:val="24"/>
              </w:rPr>
              <w:t xml:space="preserve">0.198</w:t>
            </w:r>
          </w:p>
        </w:tc>
      </w:tr>
      <w:tr>
        <w:trPr>
          <w:cantSplit/>
        </w:trPr>
        <w:tc>
          <w:tcPr>
            <w:tcW w:w="2438"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2005</w:t>
            </w:r>
          </w:p>
        </w:tc>
        <w:tc>
          <w:tcPr>
            <w:tcW w:w="251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6.731</w:t>
            </w:r>
          </w:p>
        </w:tc>
        <w:tc>
          <w:tcPr>
            <w:tcW w:w="245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0.035</w:t>
            </w:r>
          </w:p>
        </w:tc>
        <w:tc>
          <w:tcPr>
            <w:tcW w:w="2328" w:type="dxa"/>
            <w:vAlign w:val="center"/>
          </w:tcPr>
          <w:p>
            <w:pPr>
              <w:spacing w:after="0"/>
              <w:jc w:val="center"/>
              <w:rPr>
                <w:rFonts w:ascii="Times New Roman" w:hAnsi="Times New Roman"/>
                <w:sz w:val="24"/>
                <w:szCs w:val="24"/>
              </w:rPr>
            </w:pPr>
            <w:r>
              <w:rPr>
                <w:rFonts w:ascii="Times New Roman" w:hAnsi="Times New Roman"/>
                <w:sz w:val="24"/>
                <w:szCs w:val="24"/>
              </w:rPr>
              <w:t xml:space="preserve">0.034</w:t>
            </w:r>
          </w:p>
        </w:tc>
      </w:tr>
      <w:tr>
        <w:trPr>
          <w:cantSplit/>
        </w:trPr>
        <w:tc>
          <w:tcPr>
            <w:tcW w:w="2438"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2006</w:t>
            </w:r>
          </w:p>
        </w:tc>
        <w:tc>
          <w:tcPr>
            <w:tcW w:w="251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2.185</w:t>
            </w:r>
          </w:p>
        </w:tc>
        <w:tc>
          <w:tcPr>
            <w:tcW w:w="245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0.335</w:t>
            </w:r>
          </w:p>
        </w:tc>
        <w:tc>
          <w:tcPr>
            <w:tcW w:w="2328" w:type="dxa"/>
            <w:vAlign w:val="center"/>
          </w:tcPr>
          <w:p>
            <w:pPr>
              <w:spacing w:after="0"/>
              <w:jc w:val="center"/>
              <w:rPr>
                <w:rFonts w:ascii="Times New Roman" w:hAnsi="Times New Roman"/>
                <w:sz w:val="24"/>
                <w:szCs w:val="24"/>
              </w:rPr>
            </w:pPr>
            <w:r>
              <w:rPr>
                <w:rFonts w:ascii="Times New Roman" w:hAnsi="Times New Roman"/>
                <w:sz w:val="24"/>
                <w:szCs w:val="24"/>
              </w:rPr>
              <w:t xml:space="preserve">0.332</w:t>
            </w:r>
          </w:p>
        </w:tc>
      </w:tr>
      <w:tr>
        <w:trPr>
          <w:cantSplit/>
        </w:trPr>
        <w:tc>
          <w:tcPr>
            <w:tcW w:w="2438"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2007</w:t>
            </w:r>
          </w:p>
        </w:tc>
        <w:tc>
          <w:tcPr>
            <w:tcW w:w="251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4.397</w:t>
            </w:r>
          </w:p>
        </w:tc>
        <w:tc>
          <w:tcPr>
            <w:tcW w:w="245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0.111</w:t>
            </w:r>
          </w:p>
        </w:tc>
        <w:tc>
          <w:tcPr>
            <w:tcW w:w="2328" w:type="dxa"/>
            <w:vAlign w:val="center"/>
          </w:tcPr>
          <w:p>
            <w:pPr>
              <w:spacing w:after="0"/>
              <w:jc w:val="center"/>
              <w:rPr>
                <w:rFonts w:ascii="Times New Roman" w:hAnsi="Times New Roman"/>
                <w:sz w:val="24"/>
                <w:szCs w:val="24"/>
              </w:rPr>
            </w:pPr>
            <w:r>
              <w:rPr>
                <w:rFonts w:ascii="Times New Roman" w:hAnsi="Times New Roman"/>
                <w:sz w:val="24"/>
                <w:szCs w:val="24"/>
              </w:rPr>
              <w:t xml:space="preserve">0.105</w:t>
            </w:r>
          </w:p>
        </w:tc>
      </w:tr>
      <w:tr>
        <w:trPr>
          <w:cantSplit/>
        </w:trPr>
        <w:tc>
          <w:tcPr>
            <w:tcW w:w="2438"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2008</w:t>
            </w:r>
          </w:p>
        </w:tc>
        <w:tc>
          <w:tcPr>
            <w:tcW w:w="251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4.235</w:t>
            </w:r>
          </w:p>
        </w:tc>
        <w:tc>
          <w:tcPr>
            <w:tcW w:w="245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0.120</w:t>
            </w:r>
          </w:p>
        </w:tc>
        <w:tc>
          <w:tcPr>
            <w:tcW w:w="2328" w:type="dxa"/>
            <w:vAlign w:val="center"/>
          </w:tcPr>
          <w:p>
            <w:pPr>
              <w:spacing w:after="0"/>
              <w:jc w:val="center"/>
              <w:rPr>
                <w:rFonts w:ascii="Times New Roman" w:hAnsi="Times New Roman"/>
                <w:sz w:val="24"/>
                <w:szCs w:val="24"/>
              </w:rPr>
            </w:pPr>
            <w:r>
              <w:rPr>
                <w:rFonts w:ascii="Times New Roman" w:hAnsi="Times New Roman"/>
                <w:sz w:val="24"/>
                <w:szCs w:val="24"/>
              </w:rPr>
              <w:t xml:space="preserve">0.116</w:t>
            </w:r>
          </w:p>
        </w:tc>
      </w:tr>
      <w:tr>
        <w:trPr>
          <w:cantSplit/>
        </w:trPr>
        <w:tc>
          <w:tcPr>
            <w:tcW w:w="2438"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2009</w:t>
            </w:r>
          </w:p>
        </w:tc>
        <w:tc>
          <w:tcPr>
            <w:tcW w:w="251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2.639</w:t>
            </w:r>
          </w:p>
        </w:tc>
        <w:tc>
          <w:tcPr>
            <w:tcW w:w="245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0.267</w:t>
            </w:r>
          </w:p>
        </w:tc>
        <w:tc>
          <w:tcPr>
            <w:tcW w:w="2328" w:type="dxa"/>
            <w:vAlign w:val="center"/>
          </w:tcPr>
          <w:p>
            <w:pPr>
              <w:spacing w:after="0"/>
              <w:jc w:val="center"/>
              <w:rPr>
                <w:rFonts w:ascii="Times New Roman" w:hAnsi="Times New Roman"/>
                <w:sz w:val="24"/>
                <w:szCs w:val="24"/>
              </w:rPr>
            </w:pPr>
            <w:r>
              <w:rPr>
                <w:rFonts w:ascii="Times New Roman" w:hAnsi="Times New Roman"/>
                <w:sz w:val="24"/>
                <w:szCs w:val="24"/>
              </w:rPr>
              <w:t xml:space="preserve">0.258</w:t>
            </w:r>
          </w:p>
        </w:tc>
      </w:tr>
      <w:tr>
        <w:trPr>
          <w:cantSplit/>
        </w:trPr>
        <w:tc>
          <w:tcPr>
            <w:tcW w:w="2438"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2010</w:t>
            </w:r>
          </w:p>
        </w:tc>
        <w:tc>
          <w:tcPr>
            <w:tcW w:w="251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3.591</w:t>
            </w:r>
          </w:p>
        </w:tc>
        <w:tc>
          <w:tcPr>
            <w:tcW w:w="245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0.166</w:t>
            </w:r>
          </w:p>
        </w:tc>
        <w:tc>
          <w:tcPr>
            <w:tcW w:w="2328" w:type="dxa"/>
            <w:vAlign w:val="center"/>
          </w:tcPr>
          <w:p>
            <w:pPr>
              <w:spacing w:after="0"/>
              <w:jc w:val="center"/>
              <w:rPr>
                <w:rFonts w:ascii="Times New Roman" w:hAnsi="Times New Roman"/>
                <w:sz w:val="24"/>
                <w:szCs w:val="24"/>
              </w:rPr>
            </w:pPr>
            <w:r>
              <w:rPr>
                <w:rFonts w:ascii="Times New Roman" w:hAnsi="Times New Roman"/>
                <w:sz w:val="24"/>
                <w:szCs w:val="24"/>
              </w:rPr>
              <w:t xml:space="preserve">0.165</w:t>
            </w:r>
          </w:p>
        </w:tc>
      </w:tr>
      <w:tr>
        <w:trPr>
          <w:cantSplit/>
        </w:trPr>
        <w:tc>
          <w:tcPr>
            <w:tcW w:w="2438"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2011</w:t>
            </w:r>
          </w:p>
        </w:tc>
        <w:tc>
          <w:tcPr>
            <w:tcW w:w="251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1.412</w:t>
            </w:r>
          </w:p>
        </w:tc>
        <w:tc>
          <w:tcPr>
            <w:tcW w:w="245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0.494</w:t>
            </w:r>
          </w:p>
        </w:tc>
        <w:tc>
          <w:tcPr>
            <w:tcW w:w="2328" w:type="dxa"/>
            <w:vAlign w:val="center"/>
          </w:tcPr>
          <w:p>
            <w:pPr>
              <w:spacing w:after="0"/>
              <w:jc w:val="center"/>
              <w:rPr>
                <w:rFonts w:ascii="Times New Roman" w:hAnsi="Times New Roman"/>
                <w:sz w:val="24"/>
                <w:szCs w:val="24"/>
              </w:rPr>
            </w:pPr>
            <w:r>
              <w:rPr>
                <w:rFonts w:ascii="Times New Roman" w:hAnsi="Times New Roman"/>
                <w:sz w:val="24"/>
                <w:szCs w:val="24"/>
              </w:rPr>
              <w:t xml:space="preserve">0.486</w:t>
            </w:r>
          </w:p>
        </w:tc>
      </w:tr>
      <w:tr>
        <w:trPr>
          <w:cantSplit/>
        </w:trPr>
        <w:tc>
          <w:tcPr>
            <w:tcW w:w="2438"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2012</w:t>
            </w:r>
          </w:p>
        </w:tc>
        <w:tc>
          <w:tcPr>
            <w:tcW w:w="251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1.767</w:t>
            </w:r>
          </w:p>
        </w:tc>
        <w:tc>
          <w:tcPr>
            <w:tcW w:w="245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0.413</w:t>
            </w:r>
          </w:p>
        </w:tc>
        <w:tc>
          <w:tcPr>
            <w:tcW w:w="2328" w:type="dxa"/>
            <w:vAlign w:val="center"/>
          </w:tcPr>
          <w:p>
            <w:pPr>
              <w:spacing w:after="0"/>
              <w:jc w:val="center"/>
              <w:rPr>
                <w:rFonts w:ascii="Times New Roman" w:hAnsi="Times New Roman"/>
                <w:sz w:val="24"/>
                <w:szCs w:val="24"/>
              </w:rPr>
            </w:pPr>
            <w:r>
              <w:rPr>
                <w:rFonts w:ascii="Times New Roman" w:hAnsi="Times New Roman"/>
                <w:sz w:val="24"/>
                <w:szCs w:val="24"/>
              </w:rPr>
              <w:t xml:space="preserve">0.409</w:t>
            </w:r>
          </w:p>
        </w:tc>
      </w:tr>
      <w:tr>
        <w:trPr>
          <w:cantSplit/>
        </w:trPr>
        <w:tc>
          <w:tcPr>
            <w:tcW w:w="2438"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2013</w:t>
            </w:r>
          </w:p>
        </w:tc>
        <w:tc>
          <w:tcPr>
            <w:tcW w:w="251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2.821</w:t>
            </w:r>
          </w:p>
        </w:tc>
        <w:tc>
          <w:tcPr>
            <w:tcW w:w="245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0.244</w:t>
            </w:r>
          </w:p>
        </w:tc>
        <w:tc>
          <w:tcPr>
            <w:tcW w:w="2328" w:type="dxa"/>
            <w:vAlign w:val="center"/>
          </w:tcPr>
          <w:p>
            <w:pPr>
              <w:spacing w:after="0"/>
              <w:jc w:val="center"/>
              <w:rPr>
                <w:rFonts w:ascii="Times New Roman" w:hAnsi="Times New Roman"/>
                <w:sz w:val="24"/>
                <w:szCs w:val="24"/>
              </w:rPr>
            </w:pPr>
            <w:r>
              <w:rPr>
                <w:rFonts w:ascii="Times New Roman" w:hAnsi="Times New Roman"/>
                <w:sz w:val="24"/>
                <w:szCs w:val="24"/>
              </w:rPr>
              <w:t xml:space="preserve">0.236</w:t>
            </w:r>
          </w:p>
        </w:tc>
      </w:tr>
      <w:tr>
        <w:trPr>
          <w:cantSplit/>
        </w:trPr>
        <w:tc>
          <w:tcPr>
            <w:tcW w:w="2438"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2014</w:t>
            </w:r>
          </w:p>
        </w:tc>
        <w:tc>
          <w:tcPr>
            <w:tcW w:w="251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1.385</w:t>
            </w:r>
          </w:p>
        </w:tc>
        <w:tc>
          <w:tcPr>
            <w:tcW w:w="245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0.500</w:t>
            </w:r>
          </w:p>
        </w:tc>
        <w:tc>
          <w:tcPr>
            <w:tcW w:w="2328" w:type="dxa"/>
            <w:vAlign w:val="center"/>
          </w:tcPr>
          <w:p>
            <w:pPr>
              <w:spacing w:after="0"/>
              <w:jc w:val="center"/>
              <w:rPr>
                <w:rFonts w:ascii="Times New Roman" w:hAnsi="Times New Roman"/>
                <w:sz w:val="24"/>
                <w:szCs w:val="24"/>
              </w:rPr>
            </w:pPr>
            <w:r>
              <w:rPr>
                <w:rFonts w:ascii="Times New Roman" w:hAnsi="Times New Roman"/>
                <w:sz w:val="24"/>
                <w:szCs w:val="24"/>
              </w:rPr>
              <w:t xml:space="preserve">0.499</w:t>
            </w:r>
          </w:p>
        </w:tc>
      </w:tr>
      <w:tr>
        <w:trPr>
          <w:cantSplit/>
        </w:trPr>
        <w:tc>
          <w:tcPr>
            <w:tcW w:w="2438"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2015</w:t>
            </w:r>
          </w:p>
        </w:tc>
        <w:tc>
          <w:tcPr>
            <w:tcW w:w="251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0.981</w:t>
            </w:r>
          </w:p>
        </w:tc>
        <w:tc>
          <w:tcPr>
            <w:tcW w:w="245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0.612</w:t>
            </w:r>
          </w:p>
        </w:tc>
        <w:tc>
          <w:tcPr>
            <w:tcW w:w="2328" w:type="dxa"/>
            <w:vAlign w:val="center"/>
          </w:tcPr>
          <w:p>
            <w:pPr>
              <w:spacing w:after="0"/>
              <w:jc w:val="center"/>
              <w:rPr>
                <w:rFonts w:ascii="Times New Roman" w:hAnsi="Times New Roman"/>
                <w:sz w:val="24"/>
                <w:szCs w:val="24"/>
              </w:rPr>
            </w:pPr>
            <w:r>
              <w:rPr>
                <w:rFonts w:ascii="Times New Roman" w:hAnsi="Times New Roman"/>
                <w:sz w:val="24"/>
                <w:szCs w:val="24"/>
              </w:rPr>
              <w:t xml:space="preserve">0.610</w:t>
            </w:r>
          </w:p>
        </w:tc>
      </w:tr>
      <w:tr>
        <w:trPr>
          <w:cantSplit/>
        </w:trPr>
        <w:tc>
          <w:tcPr>
            <w:tcW w:w="2438"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2016</w:t>
            </w:r>
          </w:p>
        </w:tc>
        <w:tc>
          <w:tcPr>
            <w:tcW w:w="251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5.931</w:t>
            </w:r>
          </w:p>
        </w:tc>
        <w:tc>
          <w:tcPr>
            <w:tcW w:w="245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0.052</w:t>
            </w:r>
          </w:p>
        </w:tc>
        <w:tc>
          <w:tcPr>
            <w:tcW w:w="2328" w:type="dxa"/>
            <w:vAlign w:val="center"/>
          </w:tcPr>
          <w:p>
            <w:pPr>
              <w:spacing w:after="0"/>
              <w:jc w:val="center"/>
              <w:rPr>
                <w:rFonts w:ascii="Times New Roman" w:hAnsi="Times New Roman"/>
                <w:sz w:val="24"/>
                <w:szCs w:val="24"/>
              </w:rPr>
            </w:pPr>
            <w:r>
              <w:rPr>
                <w:rFonts w:ascii="Times New Roman" w:hAnsi="Times New Roman"/>
                <w:sz w:val="24"/>
                <w:szCs w:val="24"/>
              </w:rPr>
              <w:t xml:space="preserve">0.049</w:t>
            </w:r>
          </w:p>
        </w:tc>
      </w:tr>
      <w:tr>
        <w:trPr>
          <w:cantSplit/>
        </w:trPr>
        <w:tc>
          <w:tcPr>
            <w:tcW w:w="2438"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2017</w:t>
            </w:r>
          </w:p>
        </w:tc>
        <w:tc>
          <w:tcPr>
            <w:tcW w:w="251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5.850</w:t>
            </w:r>
          </w:p>
        </w:tc>
        <w:tc>
          <w:tcPr>
            <w:tcW w:w="245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0.054</w:t>
            </w:r>
          </w:p>
        </w:tc>
        <w:tc>
          <w:tcPr>
            <w:tcW w:w="2328" w:type="dxa"/>
            <w:vAlign w:val="center"/>
          </w:tcPr>
          <w:p>
            <w:pPr>
              <w:spacing w:after="0"/>
              <w:jc w:val="center"/>
              <w:rPr>
                <w:rFonts w:ascii="Times New Roman" w:hAnsi="Times New Roman"/>
                <w:sz w:val="24"/>
                <w:szCs w:val="24"/>
              </w:rPr>
            </w:pPr>
            <w:r>
              <w:rPr>
                <w:rFonts w:ascii="Times New Roman" w:hAnsi="Times New Roman"/>
                <w:sz w:val="24"/>
                <w:szCs w:val="24"/>
              </w:rPr>
              <w:t xml:space="preserve">0.052</w:t>
            </w:r>
          </w:p>
        </w:tc>
      </w:tr>
      <w:tr>
        <w:trPr>
          <w:cantSplit/>
        </w:trPr>
        <w:tc>
          <w:tcPr>
            <w:tcW w:w="2438"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2018</w:t>
            </w:r>
          </w:p>
        </w:tc>
        <w:tc>
          <w:tcPr>
            <w:tcW w:w="251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9.130</w:t>
            </w:r>
          </w:p>
        </w:tc>
        <w:tc>
          <w:tcPr>
            <w:tcW w:w="245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0.010</w:t>
            </w:r>
          </w:p>
        </w:tc>
        <w:tc>
          <w:tcPr>
            <w:tcW w:w="2328" w:type="dxa"/>
            <w:vAlign w:val="center"/>
          </w:tcPr>
          <w:p>
            <w:pPr>
              <w:spacing w:after="0"/>
              <w:jc w:val="center"/>
              <w:rPr>
                <w:rFonts w:ascii="Times New Roman" w:hAnsi="Times New Roman"/>
                <w:sz w:val="24"/>
                <w:szCs w:val="24"/>
              </w:rPr>
            </w:pPr>
            <w:r>
              <w:rPr>
                <w:rFonts w:ascii="Times New Roman" w:hAnsi="Times New Roman"/>
                <w:sz w:val="24"/>
                <w:szCs w:val="24"/>
              </w:rPr>
              <w:t xml:space="preserve">0.011</w:t>
            </w:r>
          </w:p>
        </w:tc>
      </w:tr>
      <w:tr>
        <w:trPr>
          <w:cantSplit/>
        </w:trPr>
        <w:tc>
          <w:tcPr>
            <w:tcW w:w="2438"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2019</w:t>
            </w:r>
          </w:p>
        </w:tc>
        <w:tc>
          <w:tcPr>
            <w:tcW w:w="251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11.131</w:t>
            </w:r>
          </w:p>
        </w:tc>
        <w:tc>
          <w:tcPr>
            <w:tcW w:w="245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0.004</w:t>
            </w:r>
          </w:p>
        </w:tc>
        <w:tc>
          <w:tcPr>
            <w:tcW w:w="2328" w:type="dxa"/>
            <w:vAlign w:val="center"/>
          </w:tcPr>
          <w:p>
            <w:pPr>
              <w:spacing w:after="0"/>
              <w:jc w:val="center"/>
              <w:rPr>
                <w:rFonts w:ascii="Times New Roman" w:hAnsi="Times New Roman"/>
                <w:sz w:val="24"/>
                <w:szCs w:val="24"/>
              </w:rPr>
            </w:pPr>
            <w:r>
              <w:rPr>
                <w:rFonts w:ascii="Times New Roman" w:hAnsi="Times New Roman"/>
                <w:sz w:val="24"/>
                <w:szCs w:val="24"/>
              </w:rPr>
              <w:t xml:space="preserve">0.006</w:t>
            </w:r>
          </w:p>
        </w:tc>
      </w:tr>
      <w:tr>
        <w:trPr>
          <w:cantSplit/>
        </w:trPr>
        <w:tc>
          <w:tcPr>
            <w:tcW w:w="2438"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2020</w:t>
            </w:r>
          </w:p>
        </w:tc>
        <w:tc>
          <w:tcPr>
            <w:tcW w:w="2515" w:type="dxa"/>
            <w:vAlign w:val="center"/>
          </w:tcPr>
          <w:p>
            <w:pPr>
              <w:pStyle w:val="Ttulo1"/>
              <w:spacing w:before="0" w:beforeAutospacing="0" w:after="0" w:afterAutospacing="0"/>
              <w:jc w:val="center"/>
              <w:rPr>
                <w:b w:val="0"/>
                <w:sz w:val="24"/>
                <w:szCs w:val="24"/>
                <w:lang w:val="en-US"/>
              </w:rPr>
            </w:pPr>
            <w:r>
              <w:rPr>
                <w:b w:val="0"/>
                <w:sz w:val="24"/>
                <w:szCs w:val="24"/>
                <w:lang w:val="en-US"/>
              </w:rPr>
              <w:t xml:space="preserve">5.407</w:t>
            </w:r>
          </w:p>
        </w:tc>
        <w:tc>
          <w:tcPr>
            <w:tcW w:w="245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0.067</w:t>
            </w:r>
          </w:p>
        </w:tc>
        <w:tc>
          <w:tcPr>
            <w:tcW w:w="2328" w:type="dxa"/>
            <w:vAlign w:val="center"/>
          </w:tcPr>
          <w:p>
            <w:pPr>
              <w:spacing w:after="0"/>
              <w:jc w:val="center"/>
              <w:rPr>
                <w:rFonts w:ascii="Times New Roman" w:hAnsi="Times New Roman"/>
                <w:sz w:val="24"/>
                <w:szCs w:val="24"/>
              </w:rPr>
            </w:pPr>
            <w:r>
              <w:rPr>
                <w:rFonts w:ascii="Times New Roman" w:hAnsi="Times New Roman"/>
                <w:sz w:val="24"/>
                <w:szCs w:val="24"/>
              </w:rPr>
              <w:t xml:space="preserve">0.064</w:t>
            </w:r>
          </w:p>
        </w:tc>
      </w:tr>
      <w:tr>
        <w:trPr>
          <w:cantSplit/>
        </w:trPr>
        <w:tc>
          <w:tcPr>
            <w:tcW w:w="2438"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2021</w:t>
            </w:r>
          </w:p>
        </w:tc>
        <w:tc>
          <w:tcPr>
            <w:tcW w:w="2515" w:type="dxa"/>
            <w:vAlign w:val="center"/>
          </w:tcPr>
          <w:p>
            <w:pPr>
              <w:pStyle w:val="Ttulo1"/>
              <w:spacing w:before="0" w:beforeAutospacing="0" w:after="0" w:afterAutospacing="0"/>
              <w:jc w:val="center"/>
              <w:rPr>
                <w:b w:val="0"/>
                <w:sz w:val="24"/>
                <w:szCs w:val="24"/>
                <w:lang w:val="en-US"/>
              </w:rPr>
            </w:pPr>
            <w:r>
              <w:rPr>
                <w:b w:val="0"/>
                <w:sz w:val="24"/>
                <w:szCs w:val="24"/>
                <w:lang w:val="en-US"/>
              </w:rPr>
              <w:t xml:space="preserve">3.963</w:t>
            </w:r>
          </w:p>
        </w:tc>
        <w:tc>
          <w:tcPr>
            <w:tcW w:w="245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0.138</w:t>
            </w:r>
          </w:p>
        </w:tc>
        <w:tc>
          <w:tcPr>
            <w:tcW w:w="2328" w:type="dxa"/>
            <w:vAlign w:val="center"/>
          </w:tcPr>
          <w:p>
            <w:pPr>
              <w:spacing w:after="0"/>
              <w:jc w:val="center"/>
              <w:rPr>
                <w:rFonts w:ascii="Times New Roman" w:hAnsi="Times New Roman"/>
                <w:sz w:val="24"/>
                <w:szCs w:val="24"/>
              </w:rPr>
            </w:pPr>
            <w:r>
              <w:rPr>
                <w:rFonts w:ascii="Times New Roman" w:hAnsi="Times New Roman"/>
                <w:sz w:val="24"/>
                <w:szCs w:val="24"/>
              </w:rPr>
              <w:t xml:space="preserve">0.134</w:t>
            </w:r>
          </w:p>
        </w:tc>
      </w:tr>
      <w:tr>
        <w:trPr>
          <w:cantSplit/>
        </w:trPr>
        <w:tc>
          <w:tcPr>
            <w:tcW w:w="2438"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2022</w:t>
            </w:r>
          </w:p>
        </w:tc>
        <w:tc>
          <w:tcPr>
            <w:tcW w:w="2515" w:type="dxa"/>
            <w:vAlign w:val="center"/>
          </w:tcPr>
          <w:p>
            <w:pPr>
              <w:pStyle w:val="Ttulo1"/>
              <w:spacing w:before="0" w:beforeAutospacing="0" w:after="0" w:afterAutospacing="0"/>
              <w:jc w:val="center"/>
              <w:rPr>
                <w:b w:val="0"/>
                <w:sz w:val="24"/>
                <w:szCs w:val="24"/>
                <w:lang w:val="en-US"/>
              </w:rPr>
            </w:pPr>
            <w:r>
              <w:rPr>
                <w:b w:val="0"/>
                <w:sz w:val="24"/>
                <w:szCs w:val="24"/>
                <w:lang w:val="en-US"/>
              </w:rPr>
              <w:t xml:space="preserve">6.298</w:t>
            </w:r>
          </w:p>
        </w:tc>
        <w:tc>
          <w:tcPr>
            <w:tcW w:w="245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0.043</w:t>
            </w:r>
          </w:p>
        </w:tc>
        <w:tc>
          <w:tcPr>
            <w:tcW w:w="2328" w:type="dxa"/>
            <w:vAlign w:val="center"/>
          </w:tcPr>
          <w:p>
            <w:pPr>
              <w:spacing w:after="0"/>
              <w:jc w:val="center"/>
              <w:rPr>
                <w:rFonts w:ascii="Times New Roman" w:hAnsi="Times New Roman"/>
                <w:sz w:val="24"/>
                <w:szCs w:val="24"/>
              </w:rPr>
            </w:pPr>
            <w:r>
              <w:rPr>
                <w:rFonts w:ascii="Times New Roman" w:hAnsi="Times New Roman"/>
                <w:sz w:val="24"/>
                <w:szCs w:val="24"/>
              </w:rPr>
              <w:t xml:space="preserve">0.043</w:t>
            </w:r>
          </w:p>
        </w:tc>
      </w:tr>
      <w:tr>
        <w:trPr>
          <w:cantSplit/>
        </w:trPr>
        <w:tc>
          <w:tcPr>
            <w:tcW w:w="2438"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2023</w:t>
            </w:r>
          </w:p>
        </w:tc>
        <w:tc>
          <w:tcPr>
            <w:tcW w:w="2515" w:type="dxa"/>
            <w:vAlign w:val="center"/>
          </w:tcPr>
          <w:p>
            <w:pPr>
              <w:pStyle w:val="Ttulo1"/>
              <w:spacing w:before="0" w:beforeAutospacing="0" w:after="0" w:afterAutospacing="0"/>
              <w:jc w:val="center"/>
              <w:rPr>
                <w:b w:val="0"/>
                <w:sz w:val="24"/>
                <w:szCs w:val="24"/>
                <w:lang w:val="en-US"/>
              </w:rPr>
            </w:pPr>
            <w:r>
              <w:rPr>
                <w:b w:val="0"/>
                <w:sz w:val="24"/>
                <w:szCs w:val="24"/>
                <w:lang w:val="en-US"/>
              </w:rPr>
              <w:t xml:space="preserve">5.528</w:t>
            </w:r>
          </w:p>
        </w:tc>
        <w:tc>
          <w:tcPr>
            <w:tcW w:w="245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0.063</w:t>
            </w:r>
          </w:p>
        </w:tc>
        <w:tc>
          <w:tcPr>
            <w:tcW w:w="2328" w:type="dxa"/>
            <w:vAlign w:val="center"/>
          </w:tcPr>
          <w:p>
            <w:pPr>
              <w:spacing w:after="0"/>
              <w:jc w:val="center"/>
              <w:rPr>
                <w:rFonts w:ascii="Times New Roman" w:hAnsi="Times New Roman"/>
                <w:sz w:val="24"/>
                <w:szCs w:val="24"/>
              </w:rPr>
            </w:pPr>
            <w:r>
              <w:rPr>
                <w:rFonts w:ascii="Times New Roman" w:hAnsi="Times New Roman"/>
                <w:sz w:val="24"/>
                <w:szCs w:val="24"/>
              </w:rPr>
              <w:t xml:space="preserve">0.060</w:t>
            </w:r>
          </w:p>
        </w:tc>
      </w:tr>
      <w:tr>
        <w:trPr>
          <w:cantSplit/>
        </w:trPr>
        <w:tc>
          <w:tcPr>
            <w:tcW w:w="2438" w:type="dxa"/>
            <w:vAlign w:val="center"/>
          </w:tcPr>
          <w:p>
            <w:pPr>
              <w:pStyle w:val="Ttulo1"/>
              <w:spacing w:before="0" w:beforeAutospacing="0" w:after="0" w:afterAutospacing="0"/>
              <w:jc w:val="center"/>
              <w:rPr>
                <w:bCs w:val="0"/>
                <w:sz w:val="24"/>
                <w:szCs w:val="24"/>
                <w:lang w:val="en-US"/>
              </w:rPr>
            </w:pPr>
            <w:r>
              <w:rPr>
                <w:b w:val="0"/>
                <w:bCs w:val="0"/>
                <w:sz w:val="24"/>
                <w:szCs w:val="24"/>
                <w:lang w:val="en-US"/>
              </w:rPr>
              <w:t xml:space="preserve">2024</w:t>
            </w:r>
          </w:p>
        </w:tc>
        <w:tc>
          <w:tcPr>
            <w:tcW w:w="2515" w:type="dxa"/>
            <w:vAlign w:val="center"/>
          </w:tcPr>
          <w:p>
            <w:pPr>
              <w:pStyle w:val="Ttulo1"/>
              <w:spacing w:before="0" w:beforeAutospacing="0" w:after="0" w:afterAutospacing="0"/>
              <w:jc w:val="center"/>
              <w:rPr>
                <w:b w:val="0"/>
                <w:sz w:val="24"/>
                <w:szCs w:val="24"/>
                <w:lang w:val="en-US"/>
              </w:rPr>
            </w:pPr>
            <w:r>
              <w:rPr>
                <w:b w:val="0"/>
                <w:sz w:val="24"/>
                <w:szCs w:val="24"/>
                <w:lang w:val="en-US"/>
              </w:rPr>
              <w:t xml:space="preserve">3.249</w:t>
            </w:r>
          </w:p>
        </w:tc>
        <w:tc>
          <w:tcPr>
            <w:tcW w:w="2455" w:type="dxa"/>
            <w:vAlign w:val="center"/>
          </w:tcPr>
          <w:p>
            <w:pPr>
              <w:pStyle w:val="Ttulo1"/>
              <w:spacing w:before="0" w:beforeAutospacing="0" w:after="0" w:afterAutospacing="0"/>
              <w:jc w:val="center"/>
              <w:rPr>
                <w:b w:val="0"/>
                <w:bCs w:val="0"/>
                <w:sz w:val="24"/>
                <w:szCs w:val="24"/>
                <w:lang w:val="en-US"/>
              </w:rPr>
            </w:pPr>
            <w:r>
              <w:rPr>
                <w:b w:val="0"/>
                <w:bCs w:val="0"/>
                <w:sz w:val="24"/>
                <w:szCs w:val="24"/>
                <w:lang w:val="en-US"/>
              </w:rPr>
              <w:t xml:space="preserve">0.197</w:t>
            </w:r>
          </w:p>
        </w:tc>
        <w:tc>
          <w:tcPr>
            <w:tcW w:w="2328" w:type="dxa"/>
            <w:vAlign w:val="center"/>
          </w:tcPr>
          <w:p>
            <w:pPr>
              <w:spacing w:after="0"/>
              <w:jc w:val="center"/>
              <w:rPr>
                <w:rFonts w:ascii="Times New Roman" w:hAnsi="Times New Roman"/>
                <w:sz w:val="24"/>
                <w:szCs w:val="24"/>
              </w:rPr>
            </w:pPr>
            <w:r>
              <w:rPr>
                <w:rFonts w:ascii="Times New Roman" w:hAnsi="Times New Roman"/>
                <w:sz w:val="24"/>
                <w:szCs w:val="24"/>
              </w:rPr>
              <w:t xml:space="preserve">0.187</w:t>
            </w:r>
          </w:p>
        </w:tc>
      </w:tr>
    </w:tbl>
    <w:p>
      <w:pPr>
        <w:spacing w:before="80" w:after="120" w:line="240" w:lineRule="auto"/>
        <w:jc w:val="both"/>
        <w:rPr>
          <w:rFonts w:ascii="Times New Roman" w:hAnsi="Times New Roman"/>
          <w:lang w:val="en-US"/>
        </w:rPr>
      </w:pPr>
      <w:r>
        <w:rPr>
          <w:rFonts w:ascii="Times New Roman" w:hAnsi="Times New Roman"/>
          <w:sz w:val="20"/>
          <w:szCs w:val="20"/>
          <w:lang w:val="en-US"/>
        </w:rPr>
        <w:t xml:space="preserve">Notes: PWL tests H₀: σ = μ and γ = 1 against Pareto type IV (χ² with two degrees of freedom). μ is the revenue of the first excluded firm, rank 101, fixed within each annual conditional-tail bootstrap. The bootstrap p-values use 19,999 replications, with an independent fixed seed for every fiscal year.</w:t>
      </w:r>
    </w:p>
    <w:p>
      <w:pPr>
        <w:keepNext/>
        <w:pageBreakBefore/>
        <w:spacing w:before="120" w:after="120" w:line="240" w:lineRule="auto"/>
        <w:jc w:val="center"/>
        <w:rPr>
          <w:rFonts w:ascii="Times New Roman" w:hAnsi="Times New Roman"/>
          <w:sz w:val="24"/>
          <w:szCs w:val="24"/>
          <w:highlight w:val="none"/>
          <w:lang w:val="en-US"/>
        </w:rPr>
      </w:pPr>
      <w:r>
        <w:rPr>
          <w:rFonts w:ascii="Times New Roman" w:hAnsi="Times New Roman" w:eastAsia="Times New Roman"/>
          <w:b/>
          <w:bCs/>
          <w:color w:val="000000"/>
          <w:sz w:val="24"/>
          <w:szCs w:val="24"/>
          <w:highlight w:val="none"/>
          <w:lang w:val="en-US"/>
        </w:rPr>
        <w:t xml:space="preserve">Table 6</w:t>
      </w:r>
    </w:p>
    <w:p>
      <w:pPr>
        <w:keepNext/>
        <w:spacing w:before="120" w:after="120" w:line="240" w:lineRule="auto"/>
        <w:jc w:val="center"/>
        <w:rPr>
          <w:rFonts w:ascii="Times New Roman" w:hAnsi="Times New Roman"/>
          <w:sz w:val="24"/>
          <w:szCs w:val="24"/>
          <w:lang w:val="en-US"/>
        </w:rPr>
      </w:pPr>
      <w:r>
        <w:rPr>
          <w:rFonts w:ascii="Times New Roman" w:hAnsi="Times New Roman" w:eastAsia="Times New Roman"/>
          <w:b/>
          <w:bCs/>
          <w:color w:val="000000"/>
          <w:sz w:val="24"/>
          <w:szCs w:val="24"/>
          <w:lang w:val="en-US"/>
        </w:rPr>
        <w:t xml:space="preserve">Estimated tail exponents and tests of Zipf’s law for the top 100 firms in 1999–2024</w:t>
      </w:r>
    </w:p>
    <w:tbl>
      <w:tblPr>
        <w:tblW w:w="94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9"/>
        <w:gridCol w:w="962"/>
        <w:gridCol w:w="1485"/>
        <w:gridCol w:w="1210"/>
        <w:gridCol w:w="1209"/>
        <w:gridCol w:w="1200"/>
        <w:gridCol w:w="1154"/>
        <w:gridCol w:w="1222"/>
      </w:tblGrid>
      <w:tr>
        <w:trPr>
          <w:cantSplit/>
          <w:trHeight w:val="588" w:hRule="atLeast"/>
          <w:tblHeader/>
        </w:trPr>
        <w:tc>
          <w:tcPr>
            <w:tcW w:w="96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b/>
                <w:bCs/>
                <w:color w:val="000000"/>
                <w:sz w:val="24"/>
                <w:szCs w:val="24"/>
                <w:lang w:val="en-US"/>
              </w:rPr>
              <w:t xml:space="preserve">Year</w:t>
            </w:r>
          </w:p>
        </w:tc>
        <w:tc>
          <w:tcPr>
            <w:tcW w:w="96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b/>
                <w:bCs/>
                <w:color w:val="000000"/>
                <w:sz w:val="24"/>
                <w:szCs w:val="24"/>
                <w:lang w:val="en-US"/>
              </w:rPr>
              <w:t xml:space="preserve">MLE</w:t>
              <w:br/>
            </w:r>
            <m:oMathPara>
              <m:oMath>
                <m:acc>
                  <m:accPr>
                    <m:ctrlPr>
                      <w:rPr>
                        <w:rFonts w:ascii="Cambria Math" w:hAnsi="Cambria Math"/>
                        <w:i/>
                        <w:sz w:val="24"/>
                        <w:szCs w:val="24"/>
                        <w:lang w:val="en-US"/>
                      </w:rPr>
                    </m:ctrlPr>
                  </m:accPr>
                  <m:e>
                    <m:r>
                      <w:rPr>
                        <w:rFonts w:ascii="Cambria Math" w:hAnsi="Cambria Math"/>
                        <w:i/>
                        <w:sz w:val="24"/>
                        <w:szCs w:val="24"/>
                        <w:lang w:val="en-US"/>
                      </w:rPr>
                      <w:sym w:font="Symbol" w:char="F061"/>
                    </m:r>
                  </m:e>
                </m:acc>
              </m:oMath>
            </m:oMathPara>
          </w:p>
        </w:tc>
        <w:tc>
          <w:tcPr>
            <w:tcW w:w="1485" w:type="dxa"/>
            <w:vAlign w:val="center"/>
          </w:tcPr>
          <w:p>
            <w:pPr>
              <w:spacing w:after="0" w:line="240" w:lineRule="auto"/>
              <w:jc w:val="center"/>
              <w:rPr>
                <w:rFonts w:ascii="Times New Roman" w:hAnsi="Times New Roman" w:eastAsia="Times New Roman"/>
                <w:b/>
                <w:bCs/>
                <w:color w:val="000000"/>
                <w:sz w:val="24"/>
                <w:szCs w:val="24"/>
                <w:lang w:val="en-US"/>
              </w:rPr>
            </w:pPr>
            <w:r>
              <w:rPr>
                <w:rFonts w:ascii="Times New Roman" w:hAnsi="Times New Roman" w:eastAsia="Times New Roman"/>
                <w:b/>
                <w:bCs/>
                <w:color w:val="000000"/>
                <w:sz w:val="24"/>
                <w:szCs w:val="24"/>
                <w:lang w:val="en-US"/>
              </w:rPr>
              <w:t xml:space="preserve">MLE </w:t>
            </w:r>
          </w:p>
          <w:p>
            <w:pPr>
              <w:spacing w:after="0" w:line="240" w:lineRule="auto"/>
              <w:rPr>
                <w:rFonts w:ascii="Times New Roman" w:hAnsi="Times New Roman" w:eastAsia="Times New Roman"/>
                <w:b/>
                <w:bCs/>
                <w:color w:val="000000"/>
                <w:sz w:val="24"/>
                <w:szCs w:val="24"/>
                <w:lang w:val="en-US"/>
              </w:rPr>
            </w:pPr>
            <w:r>
              <w:rPr>
                <w:rFonts w:ascii="Times New Roman" w:hAnsi="Times New Roman" w:eastAsia="Times New Roman"/>
                <w:b/>
                <w:bCs/>
                <w:color w:val="000000"/>
                <w:sz w:val="24"/>
                <w:szCs w:val="24"/>
                <w:lang w:val="en-US"/>
              </w:rPr>
              <w:t xml:space="preserve">asy. p-value</w:t>
            </w:r>
          </w:p>
        </w:tc>
        <w:tc>
          <w:tcPr>
            <w:tcW w:w="1210" w:type="dxa"/>
            <w:vAlign w:val="center"/>
          </w:tcPr>
          <w:p>
            <w:pPr>
              <w:spacing w:after="0" w:line="240" w:lineRule="auto"/>
              <w:jc w:val="center"/>
              <w:rPr>
                <w:rFonts w:ascii="Times New Roman" w:hAnsi="Times New Roman" w:eastAsia="Times New Roman"/>
                <w:b/>
                <w:bCs/>
                <w:color w:val="000000"/>
                <w:sz w:val="24"/>
                <w:szCs w:val="24"/>
                <w:lang w:val="en-US"/>
              </w:rPr>
            </w:pPr>
            <w:r>
              <w:rPr>
                <w:rFonts w:ascii="Times New Roman" w:hAnsi="Times New Roman" w:eastAsia="Times New Roman"/>
                <w:b/>
                <w:bCs/>
                <w:color w:val="000000"/>
                <w:sz w:val="24"/>
                <w:szCs w:val="24"/>
                <w:lang w:val="en-US"/>
              </w:rPr>
              <w:t xml:space="preserve">MLE </w:t>
            </w:r>
          </w:p>
          <w:p>
            <w:pPr>
              <w:spacing w:after="0" w:line="240" w:lineRule="auto"/>
              <w:jc w:val="center"/>
              <w:rPr>
                <w:rFonts w:ascii="Times New Roman" w:hAnsi="Times New Roman"/>
                <w:sz w:val="24"/>
                <w:szCs w:val="24"/>
                <w:lang w:val="en-US"/>
              </w:rPr>
            </w:pPr>
            <w:r>
              <w:rPr>
                <w:rFonts w:ascii="Times New Roman" w:hAnsi="Times New Roman" w:eastAsia="Times New Roman"/>
                <w:b/>
                <w:bCs/>
                <w:color w:val="000000"/>
                <w:sz w:val="24"/>
                <w:szCs w:val="24"/>
                <w:lang w:val="en-US"/>
              </w:rPr>
              <w:t xml:space="preserve">boot. p-value</w:t>
            </w:r>
          </w:p>
        </w:tc>
        <w:tc>
          <w:tcPr>
            <w:tcW w:w="120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b/>
                <w:bCs/>
                <w:color w:val="000000"/>
                <w:sz w:val="24"/>
                <w:szCs w:val="24"/>
                <w:lang w:val="en-US"/>
              </w:rPr>
              <w:t xml:space="preserve">OLS-GI</w:t>
              <w:br/>
            </w:r>
            <m:oMathPara>
              <m:oMath>
                <m:acc>
                  <m:accPr>
                    <m:ctrlPr>
                      <w:rPr>
                        <w:rFonts w:ascii="Cambria Math" w:hAnsi="Cambria Math"/>
                        <w:i/>
                        <w:sz w:val="24"/>
                        <w:szCs w:val="24"/>
                        <w:lang w:val="en-US"/>
                      </w:rPr>
                    </m:ctrlPr>
                  </m:accPr>
                  <m:e>
                    <m:r>
                      <w:rPr>
                        <w:rFonts w:ascii="Cambria Math" w:hAnsi="Cambria Math"/>
                        <w:i/>
                        <w:sz w:val="24"/>
                        <w:szCs w:val="24"/>
                        <w:lang w:val="en-US"/>
                      </w:rPr>
                      <w:sym w:font="Symbol" w:char="F061"/>
                    </m:r>
                  </m:e>
                </m:acc>
              </m:oMath>
            </m:oMathPara>
          </w:p>
        </w:tc>
        <w:tc>
          <w:tcPr>
            <w:tcW w:w="1200" w:type="dxa"/>
            <w:vAlign w:val="center"/>
          </w:tcPr>
          <w:p>
            <w:pPr>
              <w:spacing w:after="0" w:line="240" w:lineRule="auto"/>
              <w:jc w:val="center"/>
              <w:rPr>
                <w:rFonts w:ascii="Times New Roman" w:hAnsi="Times New Roman" w:eastAsia="Times New Roman"/>
                <w:b/>
                <w:bCs/>
                <w:color w:val="000000"/>
                <w:sz w:val="24"/>
                <w:szCs w:val="24"/>
                <w:lang w:val="en-US"/>
              </w:rPr>
            </w:pPr>
            <w:r>
              <w:rPr>
                <w:rFonts w:ascii="Times New Roman" w:hAnsi="Times New Roman" w:eastAsia="Times New Roman"/>
                <w:b/>
                <w:bCs/>
                <w:color w:val="000000"/>
                <w:sz w:val="24"/>
                <w:szCs w:val="24"/>
                <w:lang w:val="en-US"/>
              </w:rPr>
              <w:t xml:space="preserve">OLS-GI </w:t>
            </w:r>
          </w:p>
          <w:p>
            <w:pPr>
              <w:spacing w:after="0" w:line="240" w:lineRule="auto"/>
              <w:jc w:val="center"/>
              <w:rPr>
                <w:rFonts w:ascii="Times New Roman" w:hAnsi="Times New Roman"/>
                <w:sz w:val="24"/>
                <w:szCs w:val="24"/>
                <w:lang w:val="en-US"/>
              </w:rPr>
            </w:pPr>
            <w:r>
              <w:rPr>
                <w:rFonts w:ascii="Times New Roman" w:hAnsi="Times New Roman" w:eastAsia="Times New Roman"/>
                <w:b/>
                <w:bCs/>
                <w:color w:val="000000"/>
                <w:sz w:val="24"/>
                <w:szCs w:val="24"/>
                <w:lang w:val="en-US"/>
              </w:rPr>
              <w:t xml:space="preserve">asy. p-value</w:t>
            </w:r>
          </w:p>
        </w:tc>
        <w:tc>
          <w:tcPr>
            <w:tcW w:w="1154" w:type="dxa"/>
          </w:tcPr>
          <w:p>
            <w:pPr>
              <w:spacing w:after="0" w:line="240" w:lineRule="auto"/>
              <w:jc w:val="center"/>
              <w:rPr>
                <w:rFonts w:ascii="Times New Roman" w:hAnsi="Times New Roman" w:eastAsia="Times New Roman"/>
                <w:b/>
                <w:bCs/>
                <w:color w:val="000000"/>
                <w:sz w:val="24"/>
                <w:szCs w:val="24"/>
                <w:lang w:val="en-US"/>
              </w:rPr>
            </w:pPr>
            <w:r>
              <w:rPr>
                <w:rFonts w:ascii="Times New Roman" w:hAnsi="Times New Roman" w:eastAsia="Times New Roman"/>
                <w:b/>
                <w:bCs/>
                <w:color w:val="000000"/>
                <w:sz w:val="24"/>
                <w:szCs w:val="24"/>
                <w:lang w:val="en-US"/>
              </w:rPr>
              <w:t xml:space="preserve">OLS-GI </w:t>
            </w:r>
          </w:p>
          <w:p>
            <w:pPr>
              <w:spacing w:after="0" w:line="240" w:lineRule="auto"/>
              <w:jc w:val="center"/>
              <w:rPr>
                <w:rFonts w:ascii="Times New Roman" w:hAnsi="Times New Roman" w:eastAsia="Times New Roman"/>
                <w:b/>
                <w:bCs/>
                <w:color w:val="000000"/>
                <w:sz w:val="24"/>
                <w:szCs w:val="24"/>
                <w:lang w:val="en-US"/>
              </w:rPr>
            </w:pPr>
            <w:r>
              <w:rPr>
                <w:rFonts w:ascii="Times New Roman" w:hAnsi="Times New Roman" w:eastAsia="Times New Roman"/>
                <w:b/>
                <w:bCs/>
                <w:color w:val="000000"/>
                <w:sz w:val="24"/>
                <w:szCs w:val="24"/>
                <w:lang w:val="en-US"/>
              </w:rPr>
              <w:t xml:space="preserve">boot. p-value</w:t>
            </w:r>
          </w:p>
        </w:tc>
        <w:tc>
          <w:tcPr>
            <w:tcW w:w="122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b/>
                <w:bCs/>
                <w:color w:val="000000"/>
                <w:sz w:val="24"/>
                <w:szCs w:val="24"/>
                <w:lang w:val="en-US"/>
              </w:rPr>
              <w:t xml:space="preserve">MLE</w:t>
              <w:br/>
              <w:t xml:space="preserve">absolute z</w:t>
            </w:r>
          </w:p>
        </w:tc>
      </w:tr>
      <w:tr>
        <w:trPr>
          <w:cantSplit/>
          <w:trHeight w:val="323" w:hRule="atLeast"/>
        </w:trPr>
        <w:tc>
          <w:tcPr>
            <w:tcW w:w="96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1999</w:t>
            </w:r>
          </w:p>
        </w:tc>
        <w:tc>
          <w:tcPr>
            <w:tcW w:w="96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1.291</w:t>
            </w:r>
          </w:p>
        </w:tc>
        <w:tc>
          <w:tcPr>
            <w:tcW w:w="148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0.024</w:t>
            </w:r>
          </w:p>
        </w:tc>
        <w:tc>
          <w:tcPr>
            <w:tcW w:w="12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0.025</w:t>
            </w:r>
          </w:p>
        </w:tc>
        <w:tc>
          <w:tcPr>
            <w:tcW w:w="120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1.352</w:t>
            </w:r>
          </w:p>
        </w:tc>
        <w:tc>
          <w:tcPr>
            <w:tcW w:w="12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0.066</w:t>
            </w:r>
          </w:p>
        </w:tc>
        <w:tc>
          <w:tcPr>
            <w:tcW w:w="1154" w:type="dxa"/>
          </w:tcPr>
          <w:p>
            <w:pPr>
              <w:spacing w:after="0" w:line="240" w:lineRule="auto"/>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lang w:val="en-US"/>
              </w:rPr>
              <w:t xml:space="preserve">0.069</w:t>
            </w:r>
          </w:p>
        </w:tc>
        <w:tc>
          <w:tcPr>
            <w:tcW w:w="122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2.254</w:t>
            </w:r>
          </w:p>
        </w:tc>
      </w:tr>
      <w:tr>
        <w:trPr>
          <w:cantSplit/>
          <w:trHeight w:val="323" w:hRule="atLeast"/>
        </w:trPr>
        <w:tc>
          <w:tcPr>
            <w:tcW w:w="96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2000</w:t>
            </w:r>
          </w:p>
        </w:tc>
        <w:tc>
          <w:tcPr>
            <w:tcW w:w="96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1.359</w:t>
            </w:r>
          </w:p>
        </w:tc>
        <w:tc>
          <w:tcPr>
            <w:tcW w:w="148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0.008</w:t>
            </w:r>
          </w:p>
        </w:tc>
        <w:tc>
          <w:tcPr>
            <w:tcW w:w="12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0.010</w:t>
            </w:r>
          </w:p>
        </w:tc>
        <w:tc>
          <w:tcPr>
            <w:tcW w:w="120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1.444</w:t>
            </w:r>
          </w:p>
        </w:tc>
        <w:tc>
          <w:tcPr>
            <w:tcW w:w="12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0.030</w:t>
            </w:r>
          </w:p>
        </w:tc>
        <w:tc>
          <w:tcPr>
            <w:tcW w:w="1154" w:type="dxa"/>
          </w:tcPr>
          <w:p>
            <w:pPr>
              <w:spacing w:after="0" w:line="240" w:lineRule="auto"/>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lang w:val="en-US"/>
              </w:rPr>
              <w:t xml:space="preserve">0.037</w:t>
            </w:r>
          </w:p>
        </w:tc>
        <w:tc>
          <w:tcPr>
            <w:tcW w:w="122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2.644</w:t>
            </w:r>
          </w:p>
        </w:tc>
      </w:tr>
      <w:tr>
        <w:trPr>
          <w:cantSplit/>
          <w:trHeight w:val="323" w:hRule="atLeast"/>
        </w:trPr>
        <w:tc>
          <w:tcPr>
            <w:tcW w:w="96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2001</w:t>
            </w:r>
          </w:p>
        </w:tc>
        <w:tc>
          <w:tcPr>
            <w:tcW w:w="96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1.283</w:t>
            </w:r>
          </w:p>
        </w:tc>
        <w:tc>
          <w:tcPr>
            <w:tcW w:w="148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0.027</w:t>
            </w:r>
          </w:p>
        </w:tc>
        <w:tc>
          <w:tcPr>
            <w:tcW w:w="12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0.028</w:t>
            </w:r>
          </w:p>
        </w:tc>
        <w:tc>
          <w:tcPr>
            <w:tcW w:w="120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1.424</w:t>
            </w:r>
          </w:p>
        </w:tc>
        <w:tc>
          <w:tcPr>
            <w:tcW w:w="12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0.035</w:t>
            </w:r>
          </w:p>
        </w:tc>
        <w:tc>
          <w:tcPr>
            <w:tcW w:w="1154" w:type="dxa"/>
          </w:tcPr>
          <w:p>
            <w:pPr>
              <w:spacing w:after="0" w:line="240" w:lineRule="auto"/>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lang w:val="en-US"/>
              </w:rPr>
              <w:t xml:space="preserve">0.041</w:t>
            </w:r>
          </w:p>
        </w:tc>
        <w:tc>
          <w:tcPr>
            <w:tcW w:w="122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2.208</w:t>
            </w:r>
          </w:p>
        </w:tc>
      </w:tr>
      <w:tr>
        <w:trPr>
          <w:cantSplit/>
          <w:trHeight w:val="323" w:hRule="atLeast"/>
        </w:trPr>
        <w:tc>
          <w:tcPr>
            <w:tcW w:w="96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2002</w:t>
            </w:r>
          </w:p>
        </w:tc>
        <w:tc>
          <w:tcPr>
            <w:tcW w:w="96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1.270</w:t>
            </w:r>
          </w:p>
        </w:tc>
        <w:tc>
          <w:tcPr>
            <w:tcW w:w="148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0.034</w:t>
            </w:r>
          </w:p>
        </w:tc>
        <w:tc>
          <w:tcPr>
            <w:tcW w:w="12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0.033</w:t>
            </w:r>
          </w:p>
        </w:tc>
        <w:tc>
          <w:tcPr>
            <w:tcW w:w="120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1.402</w:t>
            </w:r>
          </w:p>
        </w:tc>
        <w:tc>
          <w:tcPr>
            <w:tcW w:w="12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0.042</w:t>
            </w:r>
          </w:p>
        </w:tc>
        <w:tc>
          <w:tcPr>
            <w:tcW w:w="1154" w:type="dxa"/>
          </w:tcPr>
          <w:p>
            <w:pPr>
              <w:spacing w:after="0" w:line="240" w:lineRule="auto"/>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lang w:val="en-US"/>
              </w:rPr>
              <w:t xml:space="preserve">0.047</w:t>
            </w:r>
          </w:p>
        </w:tc>
        <w:tc>
          <w:tcPr>
            <w:tcW w:w="122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2.125</w:t>
            </w:r>
          </w:p>
        </w:tc>
      </w:tr>
      <w:tr>
        <w:trPr>
          <w:cantSplit/>
          <w:trHeight w:val="323" w:hRule="atLeast"/>
        </w:trPr>
        <w:tc>
          <w:tcPr>
            <w:tcW w:w="96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2003</w:t>
            </w:r>
          </w:p>
        </w:tc>
        <w:tc>
          <w:tcPr>
            <w:tcW w:w="96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1.257</w:t>
            </w:r>
          </w:p>
        </w:tc>
        <w:tc>
          <w:tcPr>
            <w:tcW w:w="148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0.041</w:t>
            </w:r>
          </w:p>
        </w:tc>
        <w:tc>
          <w:tcPr>
            <w:tcW w:w="12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0.039</w:t>
            </w:r>
          </w:p>
        </w:tc>
        <w:tc>
          <w:tcPr>
            <w:tcW w:w="120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1.404</w:t>
            </w:r>
          </w:p>
        </w:tc>
        <w:tc>
          <w:tcPr>
            <w:tcW w:w="12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0.042</w:t>
            </w:r>
          </w:p>
        </w:tc>
        <w:tc>
          <w:tcPr>
            <w:tcW w:w="1154" w:type="dxa"/>
          </w:tcPr>
          <w:p>
            <w:pPr>
              <w:spacing w:after="0" w:line="240" w:lineRule="auto"/>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lang w:val="en-US"/>
              </w:rPr>
              <w:t xml:space="preserve">0.047</w:t>
            </w:r>
          </w:p>
        </w:tc>
        <w:tc>
          <w:tcPr>
            <w:tcW w:w="122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2.043</w:t>
            </w:r>
          </w:p>
        </w:tc>
      </w:tr>
      <w:tr>
        <w:trPr>
          <w:cantSplit/>
          <w:trHeight w:val="323" w:hRule="atLeast"/>
        </w:trPr>
        <w:tc>
          <w:tcPr>
            <w:tcW w:w="96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2004</w:t>
            </w:r>
          </w:p>
        </w:tc>
        <w:tc>
          <w:tcPr>
            <w:tcW w:w="96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1.248</w:t>
            </w:r>
          </w:p>
        </w:tc>
        <w:tc>
          <w:tcPr>
            <w:tcW w:w="148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0.047</w:t>
            </w:r>
          </w:p>
        </w:tc>
        <w:tc>
          <w:tcPr>
            <w:tcW w:w="12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0.046</w:t>
            </w:r>
          </w:p>
        </w:tc>
        <w:tc>
          <w:tcPr>
            <w:tcW w:w="120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1.415</w:t>
            </w:r>
          </w:p>
        </w:tc>
        <w:tc>
          <w:tcPr>
            <w:tcW w:w="12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0.038</w:t>
            </w:r>
          </w:p>
        </w:tc>
        <w:tc>
          <w:tcPr>
            <w:tcW w:w="1154" w:type="dxa"/>
          </w:tcPr>
          <w:p>
            <w:pPr>
              <w:spacing w:after="0" w:line="240" w:lineRule="auto"/>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lang w:val="en-US"/>
              </w:rPr>
              <w:t xml:space="preserve">0.044</w:t>
            </w:r>
          </w:p>
        </w:tc>
        <w:tc>
          <w:tcPr>
            <w:tcW w:w="122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1.990</w:t>
            </w:r>
          </w:p>
        </w:tc>
      </w:tr>
      <w:tr>
        <w:trPr>
          <w:cantSplit/>
          <w:trHeight w:val="323" w:hRule="atLeast"/>
        </w:trPr>
        <w:tc>
          <w:tcPr>
            <w:tcW w:w="96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2005</w:t>
            </w:r>
          </w:p>
        </w:tc>
        <w:tc>
          <w:tcPr>
            <w:tcW w:w="96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1.234</w:t>
            </w:r>
          </w:p>
        </w:tc>
        <w:tc>
          <w:tcPr>
            <w:tcW w:w="148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0.058</w:t>
            </w:r>
          </w:p>
        </w:tc>
        <w:tc>
          <w:tcPr>
            <w:tcW w:w="12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0.059</w:t>
            </w:r>
          </w:p>
        </w:tc>
        <w:tc>
          <w:tcPr>
            <w:tcW w:w="120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1.375</w:t>
            </w:r>
          </w:p>
        </w:tc>
        <w:tc>
          <w:tcPr>
            <w:tcW w:w="12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0.054</w:t>
            </w:r>
          </w:p>
        </w:tc>
        <w:tc>
          <w:tcPr>
            <w:tcW w:w="1154" w:type="dxa"/>
          </w:tcPr>
          <w:p>
            <w:pPr>
              <w:spacing w:after="0" w:line="240" w:lineRule="auto"/>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lang w:val="en-US"/>
              </w:rPr>
              <w:t xml:space="preserve">0.058</w:t>
            </w:r>
          </w:p>
        </w:tc>
        <w:tc>
          <w:tcPr>
            <w:tcW w:w="122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1.893</w:t>
            </w:r>
          </w:p>
        </w:tc>
      </w:tr>
      <w:tr>
        <w:trPr>
          <w:cantSplit/>
          <w:trHeight w:val="323" w:hRule="atLeast"/>
        </w:trPr>
        <w:tc>
          <w:tcPr>
            <w:tcW w:w="96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2006</w:t>
            </w:r>
          </w:p>
        </w:tc>
        <w:tc>
          <w:tcPr>
            <w:tcW w:w="96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1.275</w:t>
            </w:r>
          </w:p>
        </w:tc>
        <w:tc>
          <w:tcPr>
            <w:tcW w:w="148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0.031</w:t>
            </w:r>
          </w:p>
        </w:tc>
        <w:tc>
          <w:tcPr>
            <w:tcW w:w="12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0.031</w:t>
            </w:r>
          </w:p>
        </w:tc>
        <w:tc>
          <w:tcPr>
            <w:tcW w:w="120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1.405</w:t>
            </w:r>
          </w:p>
        </w:tc>
        <w:tc>
          <w:tcPr>
            <w:tcW w:w="12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0.042</w:t>
            </w:r>
          </w:p>
        </w:tc>
        <w:tc>
          <w:tcPr>
            <w:tcW w:w="1154" w:type="dxa"/>
          </w:tcPr>
          <w:p>
            <w:pPr>
              <w:spacing w:after="0" w:line="240" w:lineRule="auto"/>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lang w:val="en-US"/>
              </w:rPr>
              <w:t xml:space="preserve">0.047</w:t>
            </w:r>
          </w:p>
        </w:tc>
        <w:tc>
          <w:tcPr>
            <w:tcW w:w="122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2.155</w:t>
            </w:r>
          </w:p>
        </w:tc>
      </w:tr>
      <w:tr>
        <w:trPr>
          <w:cantSplit/>
          <w:trHeight w:val="323" w:hRule="atLeast"/>
        </w:trPr>
        <w:tc>
          <w:tcPr>
            <w:tcW w:w="96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2007</w:t>
            </w:r>
          </w:p>
        </w:tc>
        <w:tc>
          <w:tcPr>
            <w:tcW w:w="96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1.212</w:t>
            </w:r>
          </w:p>
        </w:tc>
        <w:tc>
          <w:tcPr>
            <w:tcW w:w="148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0.080</w:t>
            </w:r>
          </w:p>
        </w:tc>
        <w:tc>
          <w:tcPr>
            <w:tcW w:w="12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0.080</w:t>
            </w:r>
          </w:p>
        </w:tc>
        <w:tc>
          <w:tcPr>
            <w:tcW w:w="120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1.388</w:t>
            </w:r>
          </w:p>
        </w:tc>
        <w:tc>
          <w:tcPr>
            <w:tcW w:w="12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0.048</w:t>
            </w:r>
          </w:p>
        </w:tc>
        <w:tc>
          <w:tcPr>
            <w:tcW w:w="1154" w:type="dxa"/>
          </w:tcPr>
          <w:p>
            <w:pPr>
              <w:spacing w:after="0" w:line="240" w:lineRule="auto"/>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lang w:val="en-US"/>
              </w:rPr>
              <w:t xml:space="preserve">0.053</w:t>
            </w:r>
          </w:p>
        </w:tc>
        <w:tc>
          <w:tcPr>
            <w:tcW w:w="122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1.748</w:t>
            </w:r>
          </w:p>
        </w:tc>
      </w:tr>
      <w:tr>
        <w:trPr>
          <w:cantSplit/>
          <w:trHeight w:val="323" w:hRule="atLeast"/>
        </w:trPr>
        <w:tc>
          <w:tcPr>
            <w:tcW w:w="96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2008</w:t>
            </w:r>
          </w:p>
        </w:tc>
        <w:tc>
          <w:tcPr>
            <w:tcW w:w="96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1.265</w:t>
            </w:r>
          </w:p>
        </w:tc>
        <w:tc>
          <w:tcPr>
            <w:tcW w:w="148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0.036</w:t>
            </w:r>
          </w:p>
        </w:tc>
        <w:tc>
          <w:tcPr>
            <w:tcW w:w="12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0.035</w:t>
            </w:r>
          </w:p>
        </w:tc>
        <w:tc>
          <w:tcPr>
            <w:tcW w:w="120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1.353</w:t>
            </w:r>
          </w:p>
        </w:tc>
        <w:tc>
          <w:tcPr>
            <w:tcW w:w="12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0.065</w:t>
            </w:r>
          </w:p>
        </w:tc>
        <w:tc>
          <w:tcPr>
            <w:tcW w:w="1154" w:type="dxa"/>
          </w:tcPr>
          <w:p>
            <w:pPr>
              <w:spacing w:after="0" w:line="240" w:lineRule="auto"/>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lang w:val="en-US"/>
              </w:rPr>
              <w:t xml:space="preserve">0.068</w:t>
            </w:r>
          </w:p>
        </w:tc>
        <w:tc>
          <w:tcPr>
            <w:tcW w:w="122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2.098</w:t>
            </w:r>
          </w:p>
        </w:tc>
      </w:tr>
      <w:tr>
        <w:trPr>
          <w:cantSplit/>
          <w:trHeight w:val="323" w:hRule="atLeast"/>
        </w:trPr>
        <w:tc>
          <w:tcPr>
            <w:tcW w:w="96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2009</w:t>
            </w:r>
          </w:p>
        </w:tc>
        <w:tc>
          <w:tcPr>
            <w:tcW w:w="96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1.238</w:t>
            </w:r>
          </w:p>
        </w:tc>
        <w:tc>
          <w:tcPr>
            <w:tcW w:w="148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0.054</w:t>
            </w:r>
          </w:p>
        </w:tc>
        <w:tc>
          <w:tcPr>
            <w:tcW w:w="12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0.055</w:t>
            </w:r>
          </w:p>
        </w:tc>
        <w:tc>
          <w:tcPr>
            <w:tcW w:w="120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1.368</w:t>
            </w:r>
          </w:p>
        </w:tc>
        <w:tc>
          <w:tcPr>
            <w:tcW w:w="12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0.057</w:t>
            </w:r>
          </w:p>
        </w:tc>
        <w:tc>
          <w:tcPr>
            <w:tcW w:w="1154" w:type="dxa"/>
          </w:tcPr>
          <w:p>
            <w:pPr>
              <w:spacing w:after="0" w:line="240" w:lineRule="auto"/>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lang w:val="en-US"/>
              </w:rPr>
              <w:t xml:space="preserve">0.061</w:t>
            </w:r>
          </w:p>
        </w:tc>
        <w:tc>
          <w:tcPr>
            <w:tcW w:w="122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1.923</w:t>
            </w:r>
          </w:p>
        </w:tc>
      </w:tr>
      <w:tr>
        <w:trPr>
          <w:cantSplit/>
          <w:trHeight w:val="323" w:hRule="atLeast"/>
        </w:trPr>
        <w:tc>
          <w:tcPr>
            <w:tcW w:w="96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2010</w:t>
            </w:r>
          </w:p>
        </w:tc>
        <w:tc>
          <w:tcPr>
            <w:tcW w:w="96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1.049</w:t>
            </w:r>
          </w:p>
        </w:tc>
        <w:tc>
          <w:tcPr>
            <w:tcW w:w="148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0.641</w:t>
            </w:r>
          </w:p>
        </w:tc>
        <w:tc>
          <w:tcPr>
            <w:tcW w:w="12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0.643</w:t>
            </w:r>
          </w:p>
        </w:tc>
        <w:tc>
          <w:tcPr>
            <w:tcW w:w="120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1.208</w:t>
            </w:r>
          </w:p>
        </w:tc>
        <w:tc>
          <w:tcPr>
            <w:tcW w:w="12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0.224</w:t>
            </w:r>
          </w:p>
        </w:tc>
        <w:tc>
          <w:tcPr>
            <w:tcW w:w="1154" w:type="dxa"/>
          </w:tcPr>
          <w:p>
            <w:pPr>
              <w:spacing w:after="0" w:line="240" w:lineRule="auto"/>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lang w:val="en-US"/>
              </w:rPr>
              <w:t xml:space="preserve">0.216</w:t>
            </w:r>
          </w:p>
        </w:tc>
        <w:tc>
          <w:tcPr>
            <w:tcW w:w="122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0.467</w:t>
            </w:r>
          </w:p>
        </w:tc>
      </w:tr>
      <w:tr>
        <w:trPr>
          <w:cantSplit/>
          <w:trHeight w:val="323" w:hRule="atLeast"/>
        </w:trPr>
        <w:tc>
          <w:tcPr>
            <w:tcW w:w="96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2011</w:t>
            </w:r>
          </w:p>
        </w:tc>
        <w:tc>
          <w:tcPr>
            <w:tcW w:w="96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1.109</w:t>
            </w:r>
          </w:p>
        </w:tc>
        <w:tc>
          <w:tcPr>
            <w:tcW w:w="148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0.327</w:t>
            </w:r>
          </w:p>
        </w:tc>
        <w:tc>
          <w:tcPr>
            <w:tcW w:w="12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0.324</w:t>
            </w:r>
          </w:p>
        </w:tc>
        <w:tc>
          <w:tcPr>
            <w:tcW w:w="120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1.201</w:t>
            </w:r>
          </w:p>
        </w:tc>
        <w:tc>
          <w:tcPr>
            <w:tcW w:w="12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0.236</w:t>
            </w:r>
          </w:p>
        </w:tc>
        <w:tc>
          <w:tcPr>
            <w:tcW w:w="1154" w:type="dxa"/>
          </w:tcPr>
          <w:p>
            <w:pPr>
              <w:spacing w:after="0" w:line="240" w:lineRule="auto"/>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lang w:val="en-US"/>
              </w:rPr>
              <w:t xml:space="preserve">0.226</w:t>
            </w:r>
          </w:p>
        </w:tc>
        <w:tc>
          <w:tcPr>
            <w:tcW w:w="122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0.980</w:t>
            </w:r>
          </w:p>
        </w:tc>
      </w:tr>
      <w:tr>
        <w:trPr>
          <w:cantSplit/>
          <w:trHeight w:val="323" w:hRule="atLeast"/>
        </w:trPr>
        <w:tc>
          <w:tcPr>
            <w:tcW w:w="96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2012</w:t>
            </w:r>
          </w:p>
        </w:tc>
        <w:tc>
          <w:tcPr>
            <w:tcW w:w="96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1.090</w:t>
            </w:r>
          </w:p>
        </w:tc>
        <w:tc>
          <w:tcPr>
            <w:tcW w:w="148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0.409</w:t>
            </w:r>
          </w:p>
        </w:tc>
        <w:tc>
          <w:tcPr>
            <w:tcW w:w="12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0.408</w:t>
            </w:r>
          </w:p>
        </w:tc>
        <w:tc>
          <w:tcPr>
            <w:tcW w:w="120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1.188</w:t>
            </w:r>
          </w:p>
        </w:tc>
        <w:tc>
          <w:tcPr>
            <w:tcW w:w="12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0.264</w:t>
            </w:r>
          </w:p>
        </w:tc>
        <w:tc>
          <w:tcPr>
            <w:tcW w:w="1154" w:type="dxa"/>
          </w:tcPr>
          <w:p>
            <w:pPr>
              <w:spacing w:after="0" w:line="240" w:lineRule="auto"/>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lang w:val="en-US"/>
              </w:rPr>
              <w:t xml:space="preserve">0.253</w:t>
            </w:r>
          </w:p>
        </w:tc>
        <w:tc>
          <w:tcPr>
            <w:tcW w:w="122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0.826</w:t>
            </w:r>
          </w:p>
        </w:tc>
      </w:tr>
      <w:tr>
        <w:trPr>
          <w:cantSplit/>
          <w:trHeight w:val="323" w:hRule="atLeast"/>
        </w:trPr>
        <w:tc>
          <w:tcPr>
            <w:tcW w:w="96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2013</w:t>
            </w:r>
          </w:p>
        </w:tc>
        <w:tc>
          <w:tcPr>
            <w:tcW w:w="96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1.102</w:t>
            </w:r>
          </w:p>
        </w:tc>
        <w:tc>
          <w:tcPr>
            <w:tcW w:w="148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0.353</w:t>
            </w:r>
          </w:p>
        </w:tc>
        <w:tc>
          <w:tcPr>
            <w:tcW w:w="12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0.352</w:t>
            </w:r>
          </w:p>
        </w:tc>
        <w:tc>
          <w:tcPr>
            <w:tcW w:w="120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1.209</w:t>
            </w:r>
          </w:p>
        </w:tc>
        <w:tc>
          <w:tcPr>
            <w:tcW w:w="12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0.221</w:t>
            </w:r>
          </w:p>
        </w:tc>
        <w:tc>
          <w:tcPr>
            <w:tcW w:w="1154" w:type="dxa"/>
          </w:tcPr>
          <w:p>
            <w:pPr>
              <w:spacing w:after="0" w:line="240" w:lineRule="auto"/>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lang w:val="en-US"/>
              </w:rPr>
              <w:t xml:space="preserve">0.214</w:t>
            </w:r>
          </w:p>
        </w:tc>
        <w:tc>
          <w:tcPr>
            <w:tcW w:w="122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0.928</w:t>
            </w:r>
          </w:p>
        </w:tc>
      </w:tr>
      <w:tr>
        <w:trPr>
          <w:cantSplit/>
          <w:trHeight w:val="323" w:hRule="atLeast"/>
        </w:trPr>
        <w:tc>
          <w:tcPr>
            <w:tcW w:w="96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2014</w:t>
            </w:r>
          </w:p>
        </w:tc>
        <w:tc>
          <w:tcPr>
            <w:tcW w:w="96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1.097</w:t>
            </w:r>
          </w:p>
        </w:tc>
        <w:tc>
          <w:tcPr>
            <w:tcW w:w="148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0.378</w:t>
            </w:r>
          </w:p>
        </w:tc>
        <w:tc>
          <w:tcPr>
            <w:tcW w:w="12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0.376</w:t>
            </w:r>
          </w:p>
        </w:tc>
        <w:tc>
          <w:tcPr>
            <w:tcW w:w="120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1.211</w:t>
            </w:r>
          </w:p>
        </w:tc>
        <w:tc>
          <w:tcPr>
            <w:tcW w:w="12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0.219</w:t>
            </w:r>
          </w:p>
        </w:tc>
        <w:tc>
          <w:tcPr>
            <w:tcW w:w="1154" w:type="dxa"/>
          </w:tcPr>
          <w:p>
            <w:pPr>
              <w:spacing w:after="0" w:line="240" w:lineRule="auto"/>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lang w:val="en-US"/>
              </w:rPr>
              <w:t xml:space="preserve">0.211</w:t>
            </w:r>
          </w:p>
        </w:tc>
        <w:tc>
          <w:tcPr>
            <w:tcW w:w="122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0.881</w:t>
            </w:r>
          </w:p>
        </w:tc>
      </w:tr>
      <w:tr>
        <w:trPr>
          <w:cantSplit/>
          <w:trHeight w:val="323" w:hRule="atLeast"/>
        </w:trPr>
        <w:tc>
          <w:tcPr>
            <w:tcW w:w="96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2015</w:t>
            </w:r>
          </w:p>
        </w:tc>
        <w:tc>
          <w:tcPr>
            <w:tcW w:w="96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1.116</w:t>
            </w:r>
          </w:p>
        </w:tc>
        <w:tc>
          <w:tcPr>
            <w:tcW w:w="148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0.299</w:t>
            </w:r>
          </w:p>
        </w:tc>
        <w:tc>
          <w:tcPr>
            <w:tcW w:w="12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0.296</w:t>
            </w:r>
          </w:p>
        </w:tc>
        <w:tc>
          <w:tcPr>
            <w:tcW w:w="120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1.205</w:t>
            </w:r>
          </w:p>
        </w:tc>
        <w:tc>
          <w:tcPr>
            <w:tcW w:w="12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0.229</w:t>
            </w:r>
          </w:p>
        </w:tc>
        <w:tc>
          <w:tcPr>
            <w:tcW w:w="1154" w:type="dxa"/>
          </w:tcPr>
          <w:p>
            <w:pPr>
              <w:spacing w:after="0" w:line="240" w:lineRule="auto"/>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lang w:val="en-US"/>
              </w:rPr>
              <w:t xml:space="preserve">0.220</w:t>
            </w:r>
          </w:p>
        </w:tc>
        <w:tc>
          <w:tcPr>
            <w:tcW w:w="122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1.038</w:t>
            </w:r>
          </w:p>
        </w:tc>
      </w:tr>
      <w:tr>
        <w:trPr>
          <w:cantSplit/>
          <w:trHeight w:val="323" w:hRule="atLeast"/>
        </w:trPr>
        <w:tc>
          <w:tcPr>
            <w:tcW w:w="96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2016</w:t>
            </w:r>
          </w:p>
        </w:tc>
        <w:tc>
          <w:tcPr>
            <w:tcW w:w="96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1.053</w:t>
            </w:r>
          </w:p>
        </w:tc>
        <w:tc>
          <w:tcPr>
            <w:tcW w:w="148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0.616</w:t>
            </w:r>
          </w:p>
        </w:tc>
        <w:tc>
          <w:tcPr>
            <w:tcW w:w="12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0.619</w:t>
            </w:r>
          </w:p>
        </w:tc>
        <w:tc>
          <w:tcPr>
            <w:tcW w:w="120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1.257</w:t>
            </w:r>
          </w:p>
        </w:tc>
        <w:tc>
          <w:tcPr>
            <w:tcW w:w="12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0.148</w:t>
            </w:r>
          </w:p>
        </w:tc>
        <w:tc>
          <w:tcPr>
            <w:tcW w:w="1154" w:type="dxa"/>
          </w:tcPr>
          <w:p>
            <w:pPr>
              <w:spacing w:after="0" w:line="240" w:lineRule="auto"/>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lang w:val="en-US"/>
              </w:rPr>
              <w:t xml:space="preserve">0.143</w:t>
            </w:r>
          </w:p>
        </w:tc>
        <w:tc>
          <w:tcPr>
            <w:tcW w:w="122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0.502</w:t>
            </w:r>
          </w:p>
        </w:tc>
      </w:tr>
      <w:tr>
        <w:trPr>
          <w:cantSplit/>
          <w:trHeight w:val="323" w:hRule="atLeast"/>
        </w:trPr>
        <w:tc>
          <w:tcPr>
            <w:tcW w:w="96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2017</w:t>
            </w:r>
          </w:p>
        </w:tc>
        <w:tc>
          <w:tcPr>
            <w:tcW w:w="96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1.043</w:t>
            </w:r>
          </w:p>
        </w:tc>
        <w:tc>
          <w:tcPr>
            <w:tcW w:w="148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0.681</w:t>
            </w:r>
          </w:p>
        </w:tc>
        <w:tc>
          <w:tcPr>
            <w:tcW w:w="12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0.682</w:t>
            </w:r>
          </w:p>
        </w:tc>
        <w:tc>
          <w:tcPr>
            <w:tcW w:w="120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1.260</w:t>
            </w:r>
          </w:p>
        </w:tc>
        <w:tc>
          <w:tcPr>
            <w:tcW w:w="12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0.144</w:t>
            </w:r>
          </w:p>
        </w:tc>
        <w:tc>
          <w:tcPr>
            <w:tcW w:w="1154" w:type="dxa"/>
          </w:tcPr>
          <w:p>
            <w:pPr>
              <w:spacing w:after="0" w:line="240" w:lineRule="auto"/>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lang w:val="en-US"/>
              </w:rPr>
              <w:t xml:space="preserve">0.140</w:t>
            </w:r>
          </w:p>
        </w:tc>
        <w:tc>
          <w:tcPr>
            <w:tcW w:w="122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0.411</w:t>
            </w:r>
          </w:p>
        </w:tc>
      </w:tr>
      <w:tr>
        <w:trPr>
          <w:cantSplit/>
          <w:trHeight w:val="323" w:hRule="atLeast"/>
        </w:trPr>
        <w:tc>
          <w:tcPr>
            <w:tcW w:w="96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2018</w:t>
            </w:r>
          </w:p>
        </w:tc>
        <w:tc>
          <w:tcPr>
            <w:tcW w:w="96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0.992</w:t>
            </w:r>
          </w:p>
        </w:tc>
        <w:tc>
          <w:tcPr>
            <w:tcW w:w="148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0.933</w:t>
            </w:r>
          </w:p>
        </w:tc>
        <w:tc>
          <w:tcPr>
            <w:tcW w:w="12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0.935</w:t>
            </w:r>
          </w:p>
        </w:tc>
        <w:tc>
          <w:tcPr>
            <w:tcW w:w="120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1.264</w:t>
            </w:r>
          </w:p>
        </w:tc>
        <w:tc>
          <w:tcPr>
            <w:tcW w:w="12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0.140</w:t>
            </w:r>
          </w:p>
        </w:tc>
        <w:tc>
          <w:tcPr>
            <w:tcW w:w="1154" w:type="dxa"/>
          </w:tcPr>
          <w:p>
            <w:pPr>
              <w:spacing w:after="0" w:line="240" w:lineRule="auto"/>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lang w:val="en-US"/>
              </w:rPr>
              <w:t xml:space="preserve">0.137</w:t>
            </w:r>
          </w:p>
        </w:tc>
        <w:tc>
          <w:tcPr>
            <w:tcW w:w="122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0.084</w:t>
            </w:r>
          </w:p>
        </w:tc>
      </w:tr>
      <w:tr>
        <w:trPr>
          <w:cantSplit/>
          <w:trHeight w:val="323" w:hRule="atLeast"/>
        </w:trPr>
        <w:tc>
          <w:tcPr>
            <w:tcW w:w="96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2019</w:t>
            </w:r>
          </w:p>
        </w:tc>
        <w:tc>
          <w:tcPr>
            <w:tcW w:w="96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0.961</w:t>
            </w:r>
          </w:p>
        </w:tc>
        <w:tc>
          <w:tcPr>
            <w:tcW w:w="148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0.686</w:t>
            </w:r>
          </w:p>
        </w:tc>
        <w:tc>
          <w:tcPr>
            <w:tcW w:w="12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0.688</w:t>
            </w:r>
          </w:p>
        </w:tc>
        <w:tc>
          <w:tcPr>
            <w:tcW w:w="120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1.240</w:t>
            </w:r>
          </w:p>
        </w:tc>
        <w:tc>
          <w:tcPr>
            <w:tcW w:w="12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0.171</w:t>
            </w:r>
          </w:p>
        </w:tc>
        <w:tc>
          <w:tcPr>
            <w:tcW w:w="1154" w:type="dxa"/>
          </w:tcPr>
          <w:p>
            <w:pPr>
              <w:spacing w:after="0" w:line="240" w:lineRule="auto"/>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lang w:val="en-US"/>
              </w:rPr>
              <w:t xml:space="preserve">0.165</w:t>
            </w:r>
          </w:p>
        </w:tc>
        <w:tc>
          <w:tcPr>
            <w:tcW w:w="122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0.404</w:t>
            </w:r>
          </w:p>
        </w:tc>
      </w:tr>
      <w:tr>
        <w:trPr>
          <w:cantSplit/>
          <w:trHeight w:val="323" w:hRule="atLeast"/>
        </w:trPr>
        <w:tc>
          <w:tcPr>
            <w:tcW w:w="96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2020</w:t>
            </w:r>
          </w:p>
        </w:tc>
        <w:tc>
          <w:tcPr>
            <w:tcW w:w="96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1.037</w:t>
            </w:r>
          </w:p>
        </w:tc>
        <w:tc>
          <w:tcPr>
            <w:tcW w:w="148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0.720</w:t>
            </w:r>
          </w:p>
        </w:tc>
        <w:tc>
          <w:tcPr>
            <w:tcW w:w="12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0.720</w:t>
            </w:r>
          </w:p>
        </w:tc>
        <w:tc>
          <w:tcPr>
            <w:tcW w:w="120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1.248</w:t>
            </w:r>
          </w:p>
        </w:tc>
        <w:tc>
          <w:tcPr>
            <w:tcW w:w="12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0.160</w:t>
            </w:r>
          </w:p>
        </w:tc>
        <w:tc>
          <w:tcPr>
            <w:tcW w:w="1154" w:type="dxa"/>
          </w:tcPr>
          <w:p>
            <w:pPr>
              <w:spacing w:after="0" w:line="240" w:lineRule="auto"/>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lang w:val="en-US"/>
              </w:rPr>
              <w:t xml:space="preserve">0.154</w:t>
            </w:r>
          </w:p>
        </w:tc>
        <w:tc>
          <w:tcPr>
            <w:tcW w:w="122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0.358</w:t>
            </w:r>
          </w:p>
        </w:tc>
      </w:tr>
      <w:tr>
        <w:trPr>
          <w:cantSplit/>
          <w:trHeight w:val="323" w:hRule="atLeast"/>
        </w:trPr>
        <w:tc>
          <w:tcPr>
            <w:tcW w:w="96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2021</w:t>
            </w:r>
          </w:p>
        </w:tc>
        <w:tc>
          <w:tcPr>
            <w:tcW w:w="96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1.017</w:t>
            </w:r>
          </w:p>
        </w:tc>
        <w:tc>
          <w:tcPr>
            <w:tcW w:w="148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0.867</w:t>
            </w:r>
          </w:p>
        </w:tc>
        <w:tc>
          <w:tcPr>
            <w:tcW w:w="12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0.867</w:t>
            </w:r>
          </w:p>
        </w:tc>
        <w:tc>
          <w:tcPr>
            <w:tcW w:w="120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1.183</w:t>
            </w:r>
          </w:p>
        </w:tc>
        <w:tc>
          <w:tcPr>
            <w:tcW w:w="12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0.274</w:t>
            </w:r>
          </w:p>
        </w:tc>
        <w:tc>
          <w:tcPr>
            <w:tcW w:w="1154" w:type="dxa"/>
          </w:tcPr>
          <w:p>
            <w:pPr>
              <w:spacing w:after="0" w:line="240" w:lineRule="auto"/>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lang w:val="en-US"/>
              </w:rPr>
              <w:t xml:space="preserve">0.262</w:t>
            </w:r>
          </w:p>
        </w:tc>
        <w:tc>
          <w:tcPr>
            <w:tcW w:w="122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0.168</w:t>
            </w:r>
          </w:p>
        </w:tc>
      </w:tr>
      <w:tr>
        <w:trPr>
          <w:cantSplit/>
          <w:trHeight w:val="323" w:hRule="atLeast"/>
        </w:trPr>
        <w:tc>
          <w:tcPr>
            <w:tcW w:w="96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2022</w:t>
            </w:r>
          </w:p>
        </w:tc>
        <w:tc>
          <w:tcPr>
            <w:tcW w:w="96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0.970</w:t>
            </w:r>
          </w:p>
        </w:tc>
        <w:tc>
          <w:tcPr>
            <w:tcW w:w="148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0.758</w:t>
            </w:r>
          </w:p>
        </w:tc>
        <w:tc>
          <w:tcPr>
            <w:tcW w:w="12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0.759</w:t>
            </w:r>
          </w:p>
        </w:tc>
        <w:tc>
          <w:tcPr>
            <w:tcW w:w="120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1.189</w:t>
            </w:r>
          </w:p>
        </w:tc>
        <w:tc>
          <w:tcPr>
            <w:tcW w:w="12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0.261</w:t>
            </w:r>
          </w:p>
        </w:tc>
        <w:tc>
          <w:tcPr>
            <w:tcW w:w="1154" w:type="dxa"/>
          </w:tcPr>
          <w:p>
            <w:pPr>
              <w:spacing w:after="0" w:line="240" w:lineRule="auto"/>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lang w:val="en-US"/>
              </w:rPr>
              <w:t xml:space="preserve">0.249</w:t>
            </w:r>
          </w:p>
        </w:tc>
        <w:tc>
          <w:tcPr>
            <w:tcW w:w="122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0.308</w:t>
            </w:r>
          </w:p>
        </w:tc>
      </w:tr>
      <w:tr>
        <w:trPr>
          <w:cantSplit/>
          <w:trHeight w:val="323" w:hRule="atLeast"/>
        </w:trPr>
        <w:tc>
          <w:tcPr>
            <w:tcW w:w="96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2023</w:t>
            </w:r>
          </w:p>
        </w:tc>
        <w:tc>
          <w:tcPr>
            <w:tcW w:w="96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0.997</w:t>
            </w:r>
          </w:p>
        </w:tc>
        <w:tc>
          <w:tcPr>
            <w:tcW w:w="148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0.975</w:t>
            </w:r>
          </w:p>
        </w:tc>
        <w:tc>
          <w:tcPr>
            <w:tcW w:w="12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0.976</w:t>
            </w:r>
          </w:p>
        </w:tc>
        <w:tc>
          <w:tcPr>
            <w:tcW w:w="120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1.210</w:t>
            </w:r>
          </w:p>
        </w:tc>
        <w:tc>
          <w:tcPr>
            <w:tcW w:w="12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0.219</w:t>
            </w:r>
          </w:p>
        </w:tc>
        <w:tc>
          <w:tcPr>
            <w:tcW w:w="1154" w:type="dxa"/>
          </w:tcPr>
          <w:p>
            <w:pPr>
              <w:spacing w:after="0" w:line="240" w:lineRule="auto"/>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lang w:val="en-US"/>
              </w:rPr>
              <w:t xml:space="preserve">0.212</w:t>
            </w:r>
          </w:p>
        </w:tc>
        <w:tc>
          <w:tcPr>
            <w:tcW w:w="122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0.031</w:t>
            </w:r>
          </w:p>
        </w:tc>
      </w:tr>
      <w:tr>
        <w:trPr>
          <w:cantSplit/>
          <w:trHeight w:val="323" w:hRule="atLeast"/>
        </w:trPr>
        <w:tc>
          <w:tcPr>
            <w:tcW w:w="96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2024</w:t>
            </w:r>
          </w:p>
        </w:tc>
        <w:tc>
          <w:tcPr>
            <w:tcW w:w="96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1.119</w:t>
            </w:r>
          </w:p>
        </w:tc>
        <w:tc>
          <w:tcPr>
            <w:tcW w:w="1485"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0.289</w:t>
            </w:r>
          </w:p>
        </w:tc>
        <w:tc>
          <w:tcPr>
            <w:tcW w:w="121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0.285</w:t>
            </w:r>
          </w:p>
        </w:tc>
        <w:tc>
          <w:tcPr>
            <w:tcW w:w="1209"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1.247</w:t>
            </w:r>
          </w:p>
        </w:tc>
        <w:tc>
          <w:tcPr>
            <w:tcW w:w="1200"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0.161</w:t>
            </w:r>
          </w:p>
        </w:tc>
        <w:tc>
          <w:tcPr>
            <w:tcW w:w="1154" w:type="dxa"/>
          </w:tcPr>
          <w:p>
            <w:pPr>
              <w:spacing w:after="0" w:line="240" w:lineRule="auto"/>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lang w:val="en-US"/>
              </w:rPr>
              <w:t xml:space="preserve">0.155</w:t>
            </w:r>
          </w:p>
        </w:tc>
        <w:tc>
          <w:tcPr>
            <w:tcW w:w="1222" w:type="dxa"/>
            <w:vAlign w:val="center"/>
          </w:tcPr>
          <w:p>
            <w:pPr>
              <w:spacing w:after="0" w:line="240" w:lineRule="auto"/>
              <w:jc w:val="center"/>
              <w:rPr>
                <w:rFonts w:ascii="Times New Roman" w:hAnsi="Times New Roman"/>
                <w:sz w:val="24"/>
                <w:szCs w:val="24"/>
                <w:lang w:val="en-US"/>
              </w:rPr>
            </w:pPr>
            <w:r>
              <w:rPr>
                <w:rFonts w:ascii="Times New Roman" w:hAnsi="Times New Roman" w:eastAsia="Times New Roman"/>
                <w:color w:val="000000"/>
                <w:sz w:val="24"/>
                <w:szCs w:val="24"/>
                <w:lang w:val="en-US"/>
              </w:rPr>
              <w:t xml:space="preserve">1.060</w:t>
            </w:r>
          </w:p>
        </w:tc>
      </w:tr>
    </w:tbl>
    <w:p>
      <w:pPr>
        <w:spacing w:before="80" w:after="120" w:line="240" w:lineRule="auto"/>
        <w:jc w:val="both"/>
        <w:rPr>
          <w:rFonts w:ascii="Times New Roman" w:hAnsi="Times New Roman"/>
          <w:sz w:val="20"/>
          <w:szCs w:val="20"/>
        </w:rPr>
      </w:pPr>
      <w:r>
        <w:rPr>
          <w:rFonts w:ascii="Times New Roman" w:hAnsi="Times New Roman"/>
          <w:sz w:val="20"/>
          <w:szCs w:val="20"/>
        </w:rPr>
        <w:t xml:space="preserve">Notes: All p-values test H₀: α = 1 against H₁: α ≠ 1. MLE is the Pareto type I maximum-likelihood (Hill) estimator with the smallest included revenue as the cutoff. OLS-GI is the Gabaix–Ibragimov rank-size estimator. Asymptotic p-values are two-sided normal probabilities based on z = (α̂ − 1)/SE, with SE = α̂/√100 for MLE and SE = α̂√(2/100) for OLS-GI. MLE bootstrap p-values use 20,000 parametric draws under α = 1, the fixed-cutoff simulation convention of the retained calculation, and the correction (k + 1)/(20,000 + 1). The same null simulation draws are used to calibrate all annual MLE statistics. OLS-GI bootstrap p-values use the same 20,000 parametric draws under α = 1, with the rank-size exponent re-estimated in each draw and the same (k + 1)/(20,000 + 1) correction. Standard errors are used internally for inference but are omitted from the table. Three decimal places report the recorded values; bootstrap simulation uncertainty remains.</w:t>
      </w:r>
    </w:p>
    <w:p>
      <w:pPr>
        <w:keepNext/>
        <w:pageBreakBefore/>
        <w:spacing w:before="120" w:after="120" w:line="240" w:lineRule="auto"/>
        <w:jc w:val="center"/>
        <w:rPr>
          <w:rFonts w:ascii="Times New Roman" w:hAnsi="Times New Roman" w:eastAsia="Times New Roman"/>
          <w:b/>
          <w:bCs/>
          <w:color w:val="000000"/>
          <w:sz w:val="24"/>
          <w:szCs w:val="24"/>
          <w:highlight w:val="red"/>
          <w:lang w:val="en-US"/>
        </w:rPr>
      </w:pPr>
      <w:r>
        <w:rPr>
          <w:rFonts w:ascii="Times New Roman" w:hAnsi="Times New Roman"/>
          <w:b/>
          <w:color w:val="333333"/>
          <w:sz w:val="24"/>
          <w:szCs w:val="24"/>
        </w:rPr>
        <w:t xml:space="preserve">Figure 1</w:t>
      </w:r>
    </w:p>
    <w:p>
      <w:pPr>
        <w:jc w:val="center"/>
        <w:rPr>
          <w:rFonts w:ascii="Times New Roman" w:hAnsi="Times New Roman"/>
          <w:b/>
          <w:color w:val="333333"/>
          <w:sz w:val="24"/>
          <w:szCs w:val="24"/>
        </w:rPr>
      </w:pPr>
      <w:r>
        <w:rPr>
          <w:rFonts w:ascii="Times New Roman" w:hAnsi="Times New Roman"/>
          <w:b/>
          <w:color w:val="333333"/>
          <w:sz w:val="24"/>
          <w:szCs w:val="24"/>
        </w:rPr>
        <w:t xml:space="preserve">Estimated Pareto exponents for the largest 100 firms in Brazil – 1999–2024</w:t>
      </w:r>
    </w:p>
    <w:p>
      <w:pPr>
        <w:jc w:val="center"/>
        <w:rPr>
          <w:rFonts w:ascii="Arial" w:hAnsi="Arial" w:cs="Arial"/>
        </w:rPr>
      </w:pPr>
      <w:r>
        <w:rPr>
          <w:noProof/>
        </w:rPr>
        <w:drawing>
          <wp:inline distT="0" distB="0" distL="0" distR="0">
            <wp:extent cx="5334000" cy="3111500"/>
            <wp:effectExtent l="0" t="0" r="0" b="0"/>
            <wp:docPr id="1" name="Picture 1" descr="Figure 1. Estimated Pareto tail exponents α for the top 100 firms in Brazil, 1999–2024."/>
            <wp:cNvGraphicFramePr/>
            <a:graphic>
              <a:graphicData uri="http://schemas.openxmlformats.org/drawingml/2006/picture">
                <pic:pic>
                  <pic:nvPicPr>
                    <pic:cNvPr id="0" name="image1.png" descr="Figure 1. Estimated Pareto tail exponents α for the top 100 firms in Brazil, 1999–2024."/>
                    <pic:cNvPicPr>
                      <a:picLocks noChangeAspect="1" noChangeArrowheads="1"/>
                    </pic:cNvPicPr>
                  </pic:nvPicPr>
                  <pic:blipFill>
                    <a:blip r:embed="rId29"/>
                    <a:stretch>
                      <a:fillRect/>
                    </a:stretch>
                  </pic:blipFill>
                  <pic:spPr bwMode="auto">
                    <a:xfrm>
                      <a:off x="0" y="0"/>
                      <a:ext cx="5334000" cy="3111500"/>
                    </a:xfrm>
                    <a:prstGeom prst="rect">
                      <a:avLst/>
                    </a:prstGeom>
                  </pic:spPr>
                </pic:pic>
              </a:graphicData>
            </a:graphic>
          </wp:inline>
        </w:drawing>
      </w:r>
    </w:p>
    <w:sectPr>
      <w:footerReference w:type="default" r:id="rId30"/>
      <w:type w:val="nextPage"/>
      <w:pgSz w:w="11906" w:h="16838"/>
      <w:pgMar w:top="709" w:right="1077" w:bottom="1134" w:left="1644" w:header="709" w:footer="709" w:gutter="0"/>
      <w:cols w:space="708" w:num="1"/>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endnote w:type="separator" w:id="-1">
    <w:p>
      <w:pPr>
        <w:spacing w:after="0" w:line="240" w:lineRule="auto"/>
      </w:pPr>
      <w:r>
        <w:separator/>
      </w:r>
    </w:p>
  </w:endnote>
  <w:endnote w:type="continuationSeparator" w:id="0">
    <w:p>
      <w:pPr>
        <w:spacing w:after="0" w:line="240" w:lineRule="auto"/>
      </w:pPr>
      <w:r>
        <w:continuationSeparator/>
      </w:r>
    </w:p>
  </w:endnote>
  <w:endnote w:type="continuationNotice" w:id="1">
    <w:p>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SimHei">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Rodap"/>
      <w:jc w:val="right"/>
    </w:pPr>
    <w:r>
      <w:fldChar w:fldCharType="begin"/>
    </w:r>
    <w:r>
      <w:instrText xml:space="preserve"> PAGE   \* MERGEFORMAT </w:instrText>
    </w:r>
    <w:r>
      <w:fldChar w:fldCharType="separate"/>
    </w:r>
    <w:r>
      <w:t xml:space="preserve">9</w:t>
    </w:r>
    <w:r>
      <w:fldChar w:fldCharType="end"/>
    </w:r>
  </w:p>
  <w:p>
    <w:pPr>
      <w:pStyle w:val="Rodap"/>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 w:type="continuationNotice" w:id="1">
    <w:p>
      <w:pPr>
        <w:spacing w:after="0" w:line="240" w:lineRule="auto"/>
      </w:pPr>
    </w:p>
  </w:footnote>
  <w:footnote w:id="2">
    <w:p>
      <w:pPr>
        <w:pStyle w:val="Textodenotaderodap"/>
        <w:rPr>
          <w:rFonts w:ascii="Times New Roman" w:hAnsi="Times New Roman"/>
          <w:lang w:val="en-US"/>
        </w:rPr>
      </w:pPr>
      <w:r>
        <w:rPr>
          <w:rStyle w:val="Refdenotaderodap"/>
          <w:rFonts w:ascii="Times New Roman" w:hAnsi="Times New Roman"/>
        </w:rPr>
        <w:footnoteRef/>
      </w:r>
      <w:r>
        <w:rPr>
          <w:rFonts w:ascii="Times New Roman" w:hAnsi="Times New Roman"/>
          <w:lang w:val="en-US"/>
        </w:rPr>
        <w:t xml:space="preserve"> It was initially conceived by Zipf (1949). An overview can be found in Saichev et al. (2010).</w:t>
      </w:r>
    </w:p>
  </w:footnote>
  <w:footnote w:id="3">
    <w:p>
      <w:pPr>
        <w:pStyle w:val="Textodenotaderodap"/>
        <w:rPr>
          <w:rFonts w:ascii="Times New Roman" w:hAnsi="Times New Roman"/>
          <w:lang w:val="en-US"/>
        </w:rPr>
      </w:pPr>
      <w:r>
        <w:rPr>
          <w:rStyle w:val="Refdenotaderodap"/>
          <w:rFonts w:ascii="Times New Roman" w:hAnsi="Times New Roman"/>
        </w:rPr>
        <w:footnoteRef/>
      </w:r>
      <w:r>
        <w:rPr>
          <w:rFonts w:ascii="Times New Roman" w:hAnsi="Times New Roman"/>
          <w:lang w:val="en-US"/>
        </w:rPr>
        <w:t xml:space="preserve"> Gabaix (1999) provides an attempt of uncovering generating mechanisms for the Zipf law in the case of city sizes.</w:t>
      </w:r>
    </w:p>
  </w:footnote>
  <w:footnote w:id="4">
    <w:p>
      <w:pPr>
        <w:pStyle w:val="Textodenotaderodap"/>
        <w:jc w:val="both"/>
        <w:rPr>
          <w:rFonts w:ascii="Times New Roman" w:hAnsi="Times New Roman"/>
          <w:lang w:val="en-US"/>
        </w:rPr>
      </w:pPr>
      <w:r>
        <w:rPr>
          <w:rStyle w:val="Refdenotaderodap"/>
          <w:rFonts w:ascii="Times New Roman" w:hAnsi="Times New Roman"/>
        </w:rPr>
        <w:footnoteRef/>
      </w:r>
      <w:r>
        <w:rPr>
          <w:rFonts w:ascii="Times New Roman" w:hAnsi="Times New Roman"/>
          <w:lang w:val="en-US"/>
        </w:rPr>
        <w:t xml:space="preserve"> In many empirical applications, the OLS-based procedure could lead to significant biases in small samples as indicated by Gabaix and </w:t>
      </w:r>
      <w:hyperlink r:id="rId1" w:history="1">
        <w:r>
          <w:rPr>
            <w:rStyle w:val="Hyperlink"/>
            <w:rFonts w:ascii="Times New Roman" w:hAnsi="Times New Roman"/>
            <w:color w:val="auto"/>
            <w:u w:val="none"/>
            <w:lang w:val="en-US"/>
          </w:rPr>
          <w:t xml:space="preserve">Ibragimov</w:t>
        </w:r>
      </w:hyperlink>
      <w:r>
        <w:rPr>
          <w:rFonts w:ascii="Times New Roman" w:hAnsi="Times New Roman"/>
          <w:lang w:val="en-US"/>
        </w:rPr>
        <w:t xml:space="preserve"> (2011), who suggested a possible correction. Furthermore, Urzúa (2011) had stressed, in the context of the particular case of the Pareto’s law given by the Zipf´s law, that the referred procedure would be inappropriate, as the intercept is not a nuisance parameter in the regression. Schluter (2021) further elaborates on the estimation bias arising from OLS-based estimations for the Zipf law.</w:t>
      </w:r>
    </w:p>
  </w:footnote>
  <w:footnote w:id="5">
    <w:p>
      <w:pPr>
        <w:pStyle w:val="Textodenotaderodap"/>
        <w:rPr>
          <w:rFonts w:ascii="Times New Roman" w:hAnsi="Times New Roman"/>
        </w:rPr>
      </w:pPr>
      <w:r>
        <w:rPr>
          <w:rStyle w:val="Refdenotaderodap"/>
          <w:rFonts w:ascii="Times New Roman" w:hAnsi="Times New Roman"/>
        </w:rPr>
        <w:footnoteRef/>
      </w:r>
      <w:r>
        <w:rPr>
          <w:rFonts w:ascii="Times New Roman" w:hAnsi="Times New Roman"/>
        </w:rPr>
        <w:t xml:space="preserve"> Coad (2010) emphasizes the importance of not assuming more restrictive hypotheses when testing for the Pareto law.</w:t>
      </w:r>
    </w:p>
  </w:footnote>
  <w:footnote w:id="6">
    <w:p>
      <w:pPr>
        <w:pStyle w:val="Textodenotaderodap"/>
        <w:rPr>
          <w:rFonts w:ascii="Times New Roman" w:hAnsi="Times New Roman"/>
          <w:lang w:val="en-US"/>
        </w:rPr>
      </w:pPr>
      <w:r>
        <w:rPr>
          <w:rStyle w:val="Refdenotaderodap"/>
          <w:rFonts w:ascii="Times New Roman" w:hAnsi="Times New Roman"/>
        </w:rPr>
        <w:footnoteRef/>
      </w:r>
      <w:r>
        <w:rPr>
          <w:rFonts w:ascii="Times New Roman" w:hAnsi="Times New Roman"/>
          <w:lang w:val="en-US"/>
        </w:rPr>
        <w:t xml:space="preserve"> The oil firm Petrobrás is by far the largest in Brazil and operates in an extremely volatile sector.</w:t>
      </w:r>
    </w:p>
  </w:footnote>
  <w:footnote w:id="7">
    <w:p>
      <w:pPr>
        <w:pStyle w:val="Textodenotaderodap"/>
        <w:rPr>
          <w:rFonts w:ascii="Times New Roman" w:hAnsi="Times New Roman"/>
          <w:lang w:val="en-US"/>
        </w:rPr>
      </w:pPr>
      <w:r>
        <w:rPr>
          <w:rStyle w:val="Refdenotaderodap"/>
          <w:rFonts w:ascii="Times New Roman" w:hAnsi="Times New Roman"/>
        </w:rPr>
        <w:footnoteRef/>
      </w:r>
      <w:r>
        <w:rPr>
          <w:rFonts w:ascii="Times New Roman" w:hAnsi="Times New Roman"/>
          <w:lang w:val="en-US"/>
        </w:rPr>
        <w:t xml:space="preserve"> Urzúa (2020) builds on Brazauskas (2002) for obtaining that component for the test statistic. The reader is referred to that work as the matrix is omitted for conciseness in the present paper.</w:t>
      </w:r>
    </w:p>
  </w:footnote>
  <w:footnote w:id="8">
    <w:p>
      <w:pPr>
        <w:pStyle w:val="Textodenotaderodap"/>
        <w:spacing w:before="80" w:after="120"/>
        <w:jc w:val="both"/>
        <w:rPr>
          <w:rFonts w:ascii="Times New Roman" w:hAnsi="Times New Roman"/>
        </w:rPr>
      </w:pPr>
      <w:r>
        <w:rPr>
          <w:rStyle w:val="Refdenotaderodap"/>
          <w:rFonts w:ascii="Times New Roman" w:hAnsi="Times New Roman"/>
        </w:rPr>
        <w:footnoteRef/>
      </w:r>
      <w:r>
        <w:rPr>
          <w:rFonts w:ascii="Times New Roman" w:hAnsi="Times New Roman"/>
        </w:rPr>
        <w:t xml:space="preserve"> With T = 26, the weighted sup-Wald statistic is calibrated by a heteroskedastic parametric bootstrap. The original Python routine searches k = 4,…,21, weights the annual Hill estimates by the reciprocal of their squared standard errors, and retains the maximum mean-shift Wald statistic 22.105. Under the no-break null, each simulated annual estimate equals the common weighted mean plus an independent normal error with variance equal to that year’s squared standard error. The full search is repeated in B = 20,000 replications. Two simulated maxima exceed the observed maximum, giving the corrected p-value (2 + 1)/(20,000 + 1) = 0.000150. The maximizing split is after 2009, with weighted means 1.265 before and 1.045 after the split. The search admits at least four observations in the first segment and five in the second. Pettitt’s test also selects the split after 2009 (K = 165, approximate p = 0.000260).</w:t>
      </w:r>
    </w:p>
  </w:footnote>
  <w:footnote w:id="9">
    <w:p>
      <w:pPr>
        <w:pStyle w:val="Textodenotaderodap"/>
        <w:jc w:val="both"/>
        <w:rPr>
          <w:rFonts w:ascii="Times New Roman" w:hAnsi="Times New Roman"/>
        </w:rPr>
      </w:pPr>
      <w:r>
        <w:rPr>
          <w:rStyle w:val="Refdenotaderodap"/>
          <w:rFonts w:ascii="Times New Roman" w:hAnsi="Times New Roman"/>
        </w:rPr>
        <w:footnoteRef/>
      </w:r>
      <w:r>
        <w:rPr>
          <w:rFonts w:ascii="Times New Roman" w:hAnsi="Times New Roman"/>
        </w:rPr>
        <w:t xml:space="preserve"> Autor et al. (2020) highlight the decline associated with labor share in the context of the rising of superstar firms that would attempt to focus on productivity improvements. In fact, the explosive growth of artificial intelligence (AI) utilization may reflect that tendency. The scenario with giant firms may indicate more consolidated conditions for a thicker upper tail of the firm size distributions.</w:t>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nsid w:val="00A99411"/>
    <w:multiLevelType w:val="multilevel"/>
    <w:tmpl w:val="51FC88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nsid w:val="00A99721"/>
    <w:multiLevelType w:val="multilevel"/>
    <w:tmpl w:val="4CBC48CC"/>
    <w:lvl w:ilvl="0">
      <w:start w:val="1"/>
      <w:numFmt w:val="lowerLetter"/>
      <w:lvlText w:val="%1)"/>
      <w:lvlJc w:val="left"/>
      <w:pPr>
        <w:ind w:left="644" w:hanging="360"/>
      </w:pPr>
      <w:rPr>
        <w:rFonts w:ascii="Calibri" w:hAnsi="Calibri" w:eastAsia="Calibri" w:cs="Times New Roman"/>
      </w:r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2">
    <w:nsid w:val="0AEC3BFD"/>
    <w:multiLevelType w:val="multilevel"/>
    <w:tmpl w:val="CD4430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235D57D6"/>
    <w:multiLevelType w:val="multilevel"/>
    <w:tmpl w:val="8AAA2CBA"/>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
    <w:nsid w:val="2C0F7230"/>
    <w:multiLevelType w:val="multilevel"/>
    <w:tmpl w:val="A0CC63D2"/>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3CE14BDC"/>
    <w:multiLevelType w:val="multilevel"/>
    <w:tmpl w:val="F7503CAC"/>
    <w:lvl w:ilvl="0">
      <w:start w:val="1"/>
      <w:numFmt w:val="decimal"/>
      <w:lvlText w:val="%1."/>
      <w:lvlJc w:val="left"/>
      <w:pPr>
        <w:ind w:left="360" w:hanging="360"/>
      </w:pPr>
    </w:lvl>
    <w:lvl w:ilvl="1">
      <w:start w:val="1"/>
      <w:numFmt w:val="decimal"/>
      <w:isLgl/>
      <w:lvlText w:val="%1.%2"/>
      <w:lvlJc w:val="left"/>
      <w:pPr>
        <w:ind w:left="502" w:hanging="360"/>
      </w:pPr>
    </w:lvl>
    <w:lvl w:ilvl="2">
      <w:start w:val="1"/>
      <w:numFmt w:val="decimal"/>
      <w:isLgl/>
      <w:lvlText w:val="%1.%2.%3"/>
      <w:lvlJc w:val="left"/>
      <w:pPr>
        <w:ind w:left="1004" w:hanging="720"/>
      </w:pPr>
    </w:lvl>
    <w:lvl w:ilvl="3">
      <w:start w:val="1"/>
      <w:numFmt w:val="decimal"/>
      <w:isLgl/>
      <w:lvlText w:val="%1.%2.%3.%4"/>
      <w:lvlJc w:val="left"/>
      <w:pPr>
        <w:ind w:left="1146" w:hanging="720"/>
      </w:pPr>
    </w:lvl>
    <w:lvl w:ilvl="4">
      <w:start w:val="1"/>
      <w:numFmt w:val="decimal"/>
      <w:isLgl/>
      <w:lvlText w:val="%1.%2.%3.%4.%5"/>
      <w:lvlJc w:val="left"/>
      <w:pPr>
        <w:ind w:left="1648" w:hanging="1080"/>
      </w:pPr>
    </w:lvl>
    <w:lvl w:ilvl="5">
      <w:start w:val="1"/>
      <w:numFmt w:val="decimal"/>
      <w:isLgl/>
      <w:lvlText w:val="%1.%2.%3.%4.%5.%6"/>
      <w:lvlJc w:val="left"/>
      <w:pPr>
        <w:ind w:left="1790" w:hanging="1080"/>
      </w:pPr>
    </w:lvl>
    <w:lvl w:ilvl="6">
      <w:start w:val="1"/>
      <w:numFmt w:val="decimal"/>
      <w:isLgl/>
      <w:lvlText w:val="%1.%2.%3.%4.%5.%6.%7"/>
      <w:lvlJc w:val="left"/>
      <w:pPr>
        <w:ind w:left="2292" w:hanging="1440"/>
      </w:pPr>
    </w:lvl>
    <w:lvl w:ilvl="7">
      <w:start w:val="1"/>
      <w:numFmt w:val="decimal"/>
      <w:isLgl/>
      <w:lvlText w:val="%1.%2.%3.%4.%5.%6.%7.%8"/>
      <w:lvlJc w:val="left"/>
      <w:pPr>
        <w:ind w:left="2434" w:hanging="1440"/>
      </w:pPr>
    </w:lvl>
    <w:lvl w:ilvl="8">
      <w:start w:val="1"/>
      <w:numFmt w:val="decimal"/>
      <w:isLgl/>
      <w:lvlText w:val="%1.%2.%3.%4.%5.%6.%7.%8.%9"/>
      <w:lvlJc w:val="left"/>
      <w:pPr>
        <w:ind w:left="2936" w:hanging="1800"/>
      </w:pPr>
    </w:lvl>
  </w:abstractNum>
  <w:abstractNum w:abstractNumId="6">
    <w:nsid w:val="3E4A4B89"/>
    <w:multiLevelType w:val="multilevel"/>
    <w:tmpl w:val="B33CA53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7">
    <w:nsid w:val="4C800AD7"/>
    <w:multiLevelType w:val="multilevel"/>
    <w:tmpl w:val="6F3E034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8">
    <w:nsid w:val="57790C90"/>
    <w:multiLevelType w:val="multilevel"/>
    <w:tmpl w:val="DEA4F21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6"/>
  </w:num>
  <w:num w:numId="3">
    <w:abstractNumId w:val="8"/>
  </w:num>
  <w:num w:numId="4">
    <w:abstractNumId w:val="3"/>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8"/>
  <w:proofState w:spelling="clean" w:grammar="clean"/>
  <w:defaultTabStop w:val="708"/>
  <w:hyphenationZone w:val="425"/>
  <w:characterSpacingControl w:val="doNotCompress"/>
  <w:footnotePr>
    <w:numFmt w:val="decimal"/>
    <w:footnote w:id="-1"/>
    <w:footnote w:id="0"/>
    <w:footnote w:id="1"/>
  </w:footnotePr>
  <w:endnotePr>
    <w:numFmt w:val="lowerRoman"/>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33C"/>
    <w:rsid w:val="00027904"/>
    <w:rsid w:val="000D306A"/>
    <w:rsid w:val="000F55BE"/>
    <w:rsid w:val="002006BA"/>
    <w:rsid w:val="00214D78"/>
    <w:rsid w:val="002402D8"/>
    <w:rsid w:val="002569A5"/>
    <w:rsid w:val="00256C5B"/>
    <w:rsid w:val="00275265"/>
    <w:rsid w:val="002B53C4"/>
    <w:rsid w:val="00325CEE"/>
    <w:rsid w:val="003E3D16"/>
    <w:rsid w:val="004F733C"/>
    <w:rsid w:val="0057185B"/>
    <w:rsid w:val="006C7E52"/>
    <w:rsid w:val="00733692"/>
    <w:rsid w:val="008F45C1"/>
    <w:rsid w:val="00903C28"/>
    <w:rsid w:val="00AF016C"/>
    <w:rsid w:val="00B27270"/>
    <w:rsid w:val="00B5279D"/>
    <w:rsid w:val="00BA5D79"/>
    <w:rsid w:val="00C014F8"/>
    <w:rsid w:val="00E06ADD"/>
    <w:rsid w:val="00E73804"/>
    <w:rsid w:val="00F251AE"/>
    <w:rsid w:val="00F570EF"/>
    <w:rsid w:val="00FC49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3AA75"/>
  <w15:docId w15:val="{0005FD19-317E-4EA9-940E-16574F29662C}"/>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Calibri" w:hAnsi="Calibri" w:eastAsia="Calibri" w:cs="Times New Roman"/>
        <w:sz w:val="20"/>
        <w:lang w:val="pt-BR"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00" w:line="276" w:lineRule="auto"/>
    </w:pPr>
    <w:rPr>
      <w:sz w:val="22"/>
      <w:szCs w:val="22"/>
    </w:rPr>
  </w:style>
  <w:style w:type="paragraph" w:styleId="Ttulo1">
    <w:name w:val="heading 1"/>
    <w:basedOn w:val="Normal"/>
    <w:link w:val="Ttulo1Char"/>
    <w:uiPriority w:val="9"/>
    <w:qFormat/>
    <w:pPr>
      <w:spacing w:before="100" w:beforeAutospacing="1" w:after="100" w:afterAutospacing="1" w:line="240" w:lineRule="auto"/>
      <w:outlineLvl w:val="0"/>
    </w:pPr>
    <w:rPr>
      <w:rFonts w:ascii="Times New Roman" w:hAnsi="Times New Roman" w:eastAsia="Times New Roman"/>
      <w:b/>
      <w:bCs/>
      <w:sz w:val="48"/>
      <w:szCs w:val="48"/>
    </w:rPr>
  </w:style>
  <w:style w:type="paragraph" w:styleId="Ttulo2">
    <w:name w:val="heading 2"/>
    <w:basedOn w:val="Normal"/>
    <w:next w:val="Normal"/>
    <w:link w:val="Ttulo2Char"/>
    <w:uiPriority w:val="9"/>
    <w:semiHidden/>
    <w:unhideWhenUsed/>
    <w:qFormat/>
    <w:pPr>
      <w:keepNext/>
      <w:keepLines/>
      <w:spacing w:before="200" w:after="0"/>
      <w:outlineLvl w:val="1"/>
    </w:pPr>
    <w:rPr>
      <w:rFonts w:ascii="Cambria" w:hAnsi="Cambria" w:eastAsia="Times New Roman"/>
      <w:b/>
      <w:bCs/>
      <w:color w:val="4F81BD"/>
      <w:sz w:val="26"/>
      <w:szCs w:val="26"/>
    </w:rPr>
  </w:style>
  <w:style w:type="paragraph" w:styleId="Ttulo3">
    <w:name w:val="heading 3"/>
    <w:basedOn w:val="Normal"/>
    <w:next w:val="Normal"/>
    <w:link w:val="Ttulo3Char"/>
    <w:uiPriority w:val="9"/>
    <w:qFormat/>
    <w:pPr>
      <w:keepNext/>
      <w:keepLines/>
      <w:spacing w:before="160" w:after="80"/>
      <w:outlineLvl w:val="2"/>
    </w:pPr>
    <w:rPr>
      <w:rFonts w:ascii="Arial" w:hAnsi="Arial" w:eastAsia="Arial" w:cs="Arial"/>
      <w:color w:val="2F5496"/>
      <w:sz w:val="28"/>
      <w:szCs w:val="28"/>
    </w:rPr>
  </w:style>
  <w:style w:type="paragraph" w:styleId="Ttulo4">
    <w:name w:val="heading 4"/>
    <w:basedOn w:val="Normal"/>
    <w:next w:val="Normal"/>
    <w:link w:val="Ttulo4Char"/>
    <w:uiPriority w:val="9"/>
    <w:qFormat/>
    <w:pPr>
      <w:keepNext/>
      <w:keepLines/>
      <w:spacing w:before="80" w:after="40"/>
      <w:outlineLvl w:val="3"/>
    </w:pPr>
    <w:rPr>
      <w:rFonts w:ascii="Arial" w:hAnsi="Arial" w:eastAsia="Arial" w:cs="Arial"/>
      <w:i/>
      <w:iCs/>
      <w:color w:val="2F5496"/>
    </w:rPr>
  </w:style>
  <w:style w:type="paragraph" w:styleId="Ttulo5">
    <w:name w:val="heading 5"/>
    <w:basedOn w:val="Normal"/>
    <w:next w:val="Normal"/>
    <w:link w:val="Ttulo5Char"/>
    <w:uiPriority w:val="9"/>
    <w:qFormat/>
    <w:pPr>
      <w:keepNext/>
      <w:keepLines/>
      <w:spacing w:before="80" w:after="40"/>
      <w:outlineLvl w:val="4"/>
    </w:pPr>
    <w:rPr>
      <w:rFonts w:ascii="Arial" w:hAnsi="Arial" w:eastAsia="Arial" w:cs="Arial"/>
      <w:color w:val="2F5496"/>
    </w:rPr>
  </w:style>
  <w:style w:type="paragraph" w:styleId="Ttulo6">
    <w:name w:val="heading 6"/>
    <w:basedOn w:val="Normal"/>
    <w:next w:val="Normal"/>
    <w:link w:val="Ttulo6Char"/>
    <w:uiPriority w:val="9"/>
    <w:qFormat/>
    <w:pPr>
      <w:keepNext/>
      <w:keepLines/>
      <w:spacing w:before="40" w:after="0"/>
      <w:outlineLvl w:val="5"/>
    </w:pPr>
    <w:rPr>
      <w:rFonts w:ascii="Arial" w:hAnsi="Arial" w:eastAsia="Arial" w:cs="Arial"/>
      <w:i/>
      <w:iCs/>
      <w:color w:val="595959"/>
    </w:rPr>
  </w:style>
  <w:style w:type="paragraph" w:styleId="Ttulo7">
    <w:name w:val="heading 7"/>
    <w:basedOn w:val="Normal"/>
    <w:next w:val="Normal"/>
    <w:link w:val="Ttulo7Char"/>
    <w:uiPriority w:val="9"/>
    <w:qFormat/>
    <w:pPr>
      <w:keepNext/>
      <w:keepLines/>
      <w:spacing w:before="40" w:after="0"/>
      <w:outlineLvl w:val="6"/>
    </w:pPr>
    <w:rPr>
      <w:rFonts w:ascii="Arial" w:hAnsi="Arial" w:eastAsia="Arial" w:cs="Arial"/>
      <w:color w:val="595959"/>
    </w:rPr>
  </w:style>
  <w:style w:type="paragraph" w:styleId="Ttulo8">
    <w:name w:val="heading 8"/>
    <w:basedOn w:val="Normal"/>
    <w:next w:val="Normal"/>
    <w:link w:val="Ttulo8Char"/>
    <w:uiPriority w:val="9"/>
    <w:qFormat/>
    <w:pPr>
      <w:keepNext/>
      <w:keepLines/>
      <w:spacing w:after="0"/>
      <w:outlineLvl w:val="7"/>
    </w:pPr>
    <w:rPr>
      <w:rFonts w:ascii="Arial" w:hAnsi="Arial" w:eastAsia="Arial" w:cs="Arial"/>
      <w:i/>
      <w:iCs/>
      <w:color w:val="272727"/>
    </w:rPr>
  </w:style>
  <w:style w:type="paragraph" w:styleId="Ttulo9">
    <w:name w:val="heading 9"/>
    <w:basedOn w:val="Normal"/>
    <w:next w:val="Normal"/>
    <w:link w:val="Ttulo9Char"/>
    <w:uiPriority w:val="9"/>
    <w:qFormat/>
    <w:pPr>
      <w:keepNext/>
      <w:keepLines/>
      <w:spacing w:after="0"/>
      <w:outlineLvl w:val="8"/>
    </w:pPr>
    <w:rPr>
      <w:rFonts w:ascii="Arial" w:hAnsi="Arial" w:eastAsia="Arial" w:cs="Arial"/>
      <w:i/>
      <w:iCs/>
      <w:color w:val="272727"/>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CellMar>
        <w:top w:w="0" w:type="dxa"/>
        <w:left w:w="108" w:type="dxa"/>
        <w:bottom w:w="0" w:type="dxa"/>
        <w:right w:w="108" w:type="dxa"/>
      </w:tblCellMar>
    </w:tblPr>
  </w:style>
  <w:style w:type="numbering" w:styleId="Semlista" w:default="1">
    <w:name w:val="No List"/>
    <w:uiPriority w:val="99"/>
    <w:semiHidden/>
    <w:unhideWhenUsed/>
  </w:style>
  <w:style w:type="table" w:styleId="TableGridLight" w:customStyle="1">
    <w:name w:val="Table Grid Light"/>
    <w:basedOn w:val="Tabelanormal"/>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styleId="SimplesTabela1">
    <w:name w:val="Plain Table 1"/>
    <w:basedOn w:val="Tabelanormal"/>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band1Vert">
      <w:tcPr>
        <w:shd w:val="clear" w:color="auto" w:fill="F2F2F2"/>
      </w:tcPr>
    </w:tblStylePr>
    <w:tblStylePr w:type="band1Horz">
      <w:tcPr>
        <w:shd w:val="clear" w:color="auto" w:fill="F2F2F2"/>
      </w:tcPr>
    </w:tblStylePr>
    <w:tblStylePr w:type="firstCol">
      <w:rPr>
        <w:rFonts w:ascii="Arial" w:hAnsi="Arial"/>
        <w:b/>
        <w:color w:val="404040"/>
        <w:sz w:val="22"/>
      </w:rPr>
    </w:tblStylePr>
    <w:tblStylePr w:type="lastCol">
      <w:rPr>
        <w:rFonts w:ascii="Arial" w:hAnsi="Arial"/>
        <w:b/>
        <w:color w:val="404040"/>
        <w:sz w:val="22"/>
      </w:rPr>
    </w:tblStylePr>
    <w:tblStylePr w:type="firstRow">
      <w:rPr>
        <w:rFonts w:ascii="Arial" w:hAnsi="Arial"/>
        <w:b/>
        <w:color w:val="404040"/>
        <w:sz w:val="22"/>
      </w:rPr>
    </w:tblStylePr>
    <w:tblStylePr w:type="lastRow">
      <w:rPr>
        <w:rFonts w:ascii="Arial" w:hAnsi="Arial"/>
        <w:b/>
        <w:color w:val="404040"/>
        <w:sz w:val="22"/>
      </w:rPr>
    </w:tblStylePr>
  </w:style>
  <w:style w:type="table" w:styleId="SimplesTabela2">
    <w:name w:val="Plain Table 2"/>
    <w:basedOn w:val="Tabelanormal"/>
    <w:uiPriority w:val="59"/>
    <w:tblPr>
      <w:tblBorders>
        <w:top w:val="single" w:sz="4" w:space="0" w:color="000000"/>
        <w:left w:val="nil" w:sz="4" w:space="0" w:color="auto"/>
        <w:bottom w:val="single" w:sz="4" w:space="0" w:color="000000"/>
        <w:right w:val="nil" w:sz="4" w:space="0" w:color="auto"/>
      </w:tblBorders>
    </w:tblPr>
    <w:tblStylePr w:type="band1Vert">
      <w:tcPr>
        <w:tcBorders>
          <w:left w:val="single" w:sz="4" w:space="0" w:color="000000"/>
          <w:right w:val="single" w:sz="4" w:space="0" w:color="000000"/>
        </w:tcBorders>
      </w:tcPr>
    </w:tblStylePr>
    <w:tblStylePr w:type="band2Vert">
      <w:tcPr>
        <w:tcBorders>
          <w:left w:val="single" w:sz="4" w:space="0" w:color="000000"/>
          <w:right w:val="single" w:sz="4" w:space="0" w:color="000000"/>
        </w:tcBorders>
      </w:tcPr>
    </w:tblStylePr>
    <w:tblStylePr w:type="band1Horz">
      <w:tcPr>
        <w:tcBorders>
          <w:top w:val="single" w:sz="4" w:space="0" w:color="000000"/>
          <w:bottom w:val="singl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firstRow">
      <w:rPr>
        <w:rFonts w:ascii="Arial" w:hAnsi="Arial"/>
        <w:b/>
        <w:color w:val="404040"/>
        <w:sz w:val="22"/>
      </w:rPr>
      <w:tcPr>
        <w:tcBorders>
          <w:top w:val="single" w:sz="4" w:space="0" w:color="000000"/>
          <w:bottom w:val="single" w:sz="4" w:space="0" w:color="000000"/>
        </w:tcBorders>
      </w:tcPr>
    </w:tblStylePr>
    <w:tblStylePr w:type="lastRow">
      <w:rPr>
        <w:rFonts w:ascii="Arial" w:hAnsi="Arial"/>
        <w:b/>
        <w:color w:val="404040"/>
        <w:sz w:val="22"/>
      </w:rPr>
    </w:tblStylePr>
  </w:style>
  <w:style w:type="table" w:styleId="SimplesTabela3">
    <w:name w:val="Plain Table 3"/>
    <w:basedOn w:val="Tabelanormal"/>
    <w:uiPriority w:val="99"/>
    <w:tblPr>
      <w:tblStyleRowBandSize w:val="1"/>
    </w:tblPr>
    <w:tblStylePr w:type="band1Vert">
      <w:rPr>
        <w:rFonts w:ascii="Arial" w:hAnsi="Arial"/>
        <w:color w:val="404040"/>
        <w:sz w:val="22"/>
      </w:rPr>
      <w:tcPr>
        <w:shd w:val="clear" w:color="auto" w:fill="F2F2F2"/>
      </w:tcPr>
    </w:tblStylePr>
    <w:tblStylePr w:type="band1Horz">
      <w:rPr>
        <w:rFonts w:ascii="Arial" w:hAnsi="Arial"/>
        <w:color w:val="404040"/>
        <w:sz w:val="22"/>
      </w:rPr>
      <w:tcPr>
        <w:shd w:val="clear" w:color="auto" w:fill="F2F2F2"/>
      </w:tcPr>
    </w:tblStylePr>
    <w:tblStylePr w:type="firstCol">
      <w:rPr>
        <w:b/>
        <w:caps/>
        <w:color w:val="404040"/>
      </w:rPr>
      <w:tcPr>
        <w:tcBorders>
          <w:top w:val="nil" w:sz="4" w:space="0" w:color="auto"/>
          <w:left w:val="nil" w:sz="4" w:space="0" w:color="auto"/>
          <w:bottom w:val="nil" w:sz="4" w:space="0" w:color="auto"/>
          <w:right w:val="single" w:sz="4" w:space="0" w:color="404040"/>
        </w:tcBorders>
      </w:tcPr>
    </w:tblStylePr>
    <w:tblStylePr w:type="lastCol">
      <w:rPr>
        <w:b/>
        <w:caps/>
        <w:color w:val="404040"/>
      </w:rPr>
    </w:tblStylePr>
    <w:tblStylePr w:type="firstRow">
      <w:rPr>
        <w:b/>
        <w:caps/>
        <w:color w:val="404040"/>
      </w:rPr>
      <w:tcPr>
        <w:tcBorders>
          <w:top w:val="nil" w:sz="4" w:space="0" w:color="auto"/>
          <w:left w:val="nil" w:sz="4" w:space="0" w:color="auto"/>
          <w:bottom w:val="single" w:sz="4" w:space="0" w:color="404040"/>
          <w:right w:val="nil" w:sz="4" w:space="0" w:color="auto"/>
        </w:tcBorders>
      </w:tcPr>
    </w:tblStylePr>
    <w:tblStylePr w:type="lastRow">
      <w:rPr>
        <w:b/>
        <w:caps/>
        <w:color w:val="404040"/>
      </w:rPr>
    </w:tblStylePr>
  </w:style>
  <w:style w:type="table" w:styleId="TabelaSimples4">
    <w:name w:val="Plain Table 4"/>
    <w:basedOn w:val="Tabelanormal"/>
    <w:uiPriority w:val="99"/>
    <w:tblPr>
      <w:tblStyleRowBandSize w:val="1"/>
    </w:tblPr>
    <w:tblStylePr w:type="band1Vert">
      <w:rPr>
        <w:rFonts w:ascii="Arial" w:hAnsi="Arial"/>
        <w:color w:val="404040"/>
        <w:sz w:val="22"/>
      </w:rPr>
      <w:tcPr>
        <w:shd w:val="clear" w:color="auto" w:fill="F2F2F2"/>
      </w:tcPr>
    </w:tblStylePr>
    <w:tblStylePr w:type="band1Horz">
      <w:rPr>
        <w:rFonts w:ascii="Arial" w:hAnsi="Arial"/>
        <w:color w:val="404040"/>
        <w:sz w:val="22"/>
      </w:rPr>
      <w:tcPr>
        <w:shd w:val="clear" w:color="auto" w:fill="F2F2F2"/>
      </w:tcPr>
    </w:tblStylePr>
    <w:tblStylePr w:type="firstCol">
      <w:rPr>
        <w:b/>
        <w:color w:val="404040"/>
      </w:rPr>
    </w:tblStylePr>
    <w:tblStylePr w:type="lastCol">
      <w:rPr>
        <w:b/>
        <w:color w:val="404040"/>
      </w:rPr>
    </w:tblStylePr>
    <w:tblStylePr w:type="firstRow">
      <w:rPr>
        <w:b/>
        <w:color w:val="404040"/>
      </w:rPr>
    </w:tblStylePr>
    <w:tblStylePr w:type="lastRow">
      <w:rPr>
        <w:b/>
        <w:color w:val="404040"/>
      </w:rPr>
    </w:tblStylePr>
  </w:style>
  <w:style w:type="table" w:styleId="TabelaSimples5">
    <w:name w:val="Plain Table 5"/>
    <w:basedOn w:val="Tabelanormal"/>
    <w:uiPriority w:val="99"/>
    <w:tblPr>
      <w:tblStyleRowBandSize w:val="1"/>
    </w:tblPr>
    <w:tblStylePr w:type="band1Vert">
      <w:rPr>
        <w:rFonts w:ascii="Arial" w:hAnsi="Arial"/>
        <w:color w:val="404040"/>
        <w:sz w:val="22"/>
      </w:rPr>
      <w:tcPr>
        <w:shd w:val="clear" w:color="auto" w:fill="F2F2F2"/>
      </w:tcPr>
    </w:tblStylePr>
    <w:tblStylePr w:type="band1Horz">
      <w:rPr>
        <w:rFonts w:ascii="Arial" w:hAnsi="Arial"/>
        <w:color w:val="404040"/>
        <w:sz w:val="22"/>
      </w:rPr>
      <w:tcPr>
        <w:shd w:val="clear" w:color="auto" w:fill="F2F2F2"/>
      </w:tcPr>
    </w:tblStylePr>
    <w:tblStylePr w:type="firstCol">
      <w:pPr>
        <w:jc w:val="right"/>
      </w:pPr>
      <w:rPr>
        <w:i/>
        <w:color w:val="404040"/>
      </w:rPr>
      <w:tcPr>
        <w:tcBorders>
          <w:right w:val="single" w:sz="4" w:space="0" w:color="404040"/>
        </w:tcBorders>
      </w:tcPr>
    </w:tblStylePr>
    <w:tblStylePr w:type="lastCol">
      <w:rPr>
        <w:i/>
        <w:color w:val="404040"/>
      </w:rPr>
      <w:tcPr>
        <w:tcBorders>
          <w:left w:val="single" w:sz="4" w:space="0" w:color="404040"/>
        </w:tcBorders>
      </w:tcPr>
    </w:tblStylePr>
    <w:tblStylePr w:type="firstRow">
      <w:rPr>
        <w:i/>
        <w:color w:val="404040"/>
      </w:rPr>
      <w:tcPr>
        <w:tcBorders>
          <w:left w:val="nil" w:sz="4" w:space="0" w:color="auto"/>
          <w:bottom w:val="single" w:sz="4" w:space="0" w:color="404040"/>
          <w:right w:val="nil" w:sz="4" w:space="0" w:color="auto"/>
        </w:tcBorders>
      </w:tcPr>
    </w:tblStylePr>
    <w:tblStylePr w:type="lastRow">
      <w:rPr>
        <w:i/>
        <w:color w:val="404040"/>
      </w:rPr>
      <w:tcPr>
        <w:tcBorders>
          <w:top w:val="single" w:sz="4" w:space="0" w:color="404040"/>
          <w:left w:val="nil" w:sz="4" w:space="0" w:color="auto"/>
          <w:right w:val="nil" w:sz="4" w:space="0" w:color="auto"/>
        </w:tcBorders>
      </w:tcPr>
    </w:tblStylePr>
  </w:style>
  <w:style w:type="table" w:styleId="TabeladeGrade1Clara">
    <w:name w:val="Grid Table 1 Light"/>
    <w:basedOn w:val="Tabelanormal"/>
    <w:uiPriority w:val="99"/>
    <w:tblPr>
      <w:tblStyleRow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band1Horz">
      <w:rPr>
        <w:rFonts w:ascii="Arial" w:hAnsi="Arial"/>
        <w:color w:val="404040"/>
        <w:sz w:val="22"/>
      </w:rPr>
      <w:tcPr>
        <w:tcBorders>
          <w:top w:val="single" w:sz="4" w:space="0" w:color="989898"/>
          <w:left w:val="single" w:sz="4" w:space="0" w:color="989898"/>
          <w:bottom w:val="single" w:sz="4" w:space="0" w:color="989898"/>
          <w:right w:val="single" w:sz="4" w:space="0" w:color="989898"/>
        </w:tcBorders>
      </w:tcPr>
    </w:tblStylePr>
    <w:tblStylePr w:type="firstCol">
      <w:rPr>
        <w:b/>
        <w:color w:val="404040"/>
      </w:rPr>
    </w:tblStylePr>
    <w:tblStylePr w:type="lastCol">
      <w:rPr>
        <w:b/>
        <w:color w:val="404040"/>
      </w:rPr>
    </w:tblStylePr>
    <w:tblStylePr w:type="firstRow">
      <w:rPr>
        <w:b/>
        <w:color w:val="404040"/>
      </w:rPr>
      <w:tcPr>
        <w:tcBorders>
          <w:bottom w:val="single" w:sz="12" w:space="0" w:color="6A6A6A"/>
        </w:tcBorders>
      </w:tcPr>
    </w:tblStylePr>
    <w:tblStylePr w:type="lastRow">
      <w:rPr>
        <w:b/>
        <w:color w:val="404040"/>
      </w:rPr>
    </w:tblStylePr>
  </w:style>
  <w:style w:type="table" w:styleId="GridTable1Light-Accent1" w:customStyle="1">
    <w:name w:val="Grid Table 1 Light - Accent 1"/>
    <w:basedOn w:val="Tabelanormal"/>
    <w:uiPriority w:val="99"/>
    <w:tblPr>
      <w:tblStyleRowBandSize w:val="1"/>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band1Horz">
      <w:rPr>
        <w:rFonts w:ascii="Arial" w:hAnsi="Arial"/>
        <w:color w:val="404040"/>
        <w:sz w:val="22"/>
      </w:rPr>
      <w:tcPr>
        <w:tcBorders>
          <w:top w:val="single" w:sz="4" w:space="0" w:color="B3C5E7"/>
          <w:left w:val="single" w:sz="4" w:space="0" w:color="B3C5E7"/>
          <w:bottom w:val="single" w:sz="4" w:space="0" w:color="B3C5E7"/>
          <w:right w:val="single" w:sz="4" w:space="0" w:color="B3C5E7"/>
        </w:tcBorders>
      </w:tcPr>
    </w:tblStylePr>
    <w:tblStylePr w:type="firstCol">
      <w:rPr>
        <w:b/>
        <w:color w:val="404040"/>
      </w:rPr>
    </w:tblStylePr>
    <w:tblStylePr w:type="lastCol">
      <w:rPr>
        <w:b/>
        <w:color w:val="404040"/>
      </w:rPr>
    </w:tblStylePr>
    <w:tblStylePr w:type="firstRow">
      <w:rPr>
        <w:b/>
        <w:color w:val="404040"/>
      </w:rPr>
      <w:tcPr>
        <w:tcBorders>
          <w:bottom w:val="single" w:sz="12" w:space="0" w:color="91ACDC"/>
        </w:tcBorders>
      </w:tcPr>
    </w:tblStylePr>
    <w:tblStylePr w:type="lastRow">
      <w:rPr>
        <w:b/>
        <w:color w:val="404040"/>
      </w:rPr>
    </w:tblStylePr>
  </w:style>
  <w:style w:type="table" w:styleId="GridTable1Light-Accent2" w:customStyle="1">
    <w:name w:val="Grid Table 1 Light - Accent 2"/>
    <w:basedOn w:val="Tabelanormal"/>
    <w:uiPriority w:val="99"/>
    <w:tblPr>
      <w:tblStyleRowBandSize w:val="1"/>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band1Horz">
      <w:rPr>
        <w:rFonts w:ascii="Arial" w:hAnsi="Arial"/>
        <w:color w:val="404040"/>
        <w:sz w:val="22"/>
      </w:rPr>
      <w:tcPr>
        <w:tcBorders>
          <w:top w:val="single" w:sz="4" w:space="0" w:color="F7CAAB"/>
          <w:left w:val="single" w:sz="4" w:space="0" w:color="F7CAAB"/>
          <w:bottom w:val="single" w:sz="4" w:space="0" w:color="F7CAAB"/>
          <w:right w:val="single" w:sz="4" w:space="0" w:color="F7CAAB"/>
        </w:tcBorders>
      </w:tcPr>
    </w:tblStylePr>
    <w:tblStylePr w:type="firstCol">
      <w:rPr>
        <w:b/>
        <w:color w:val="404040"/>
      </w:rPr>
    </w:tblStylePr>
    <w:tblStylePr w:type="lastCol">
      <w:rPr>
        <w:b/>
        <w:color w:val="404040"/>
      </w:rPr>
    </w:tblStylePr>
    <w:tblStylePr w:type="firstRow">
      <w:rPr>
        <w:b/>
        <w:color w:val="404040"/>
      </w:rPr>
      <w:tcPr>
        <w:tcBorders>
          <w:bottom w:val="single" w:sz="12" w:space="0" w:color="F4B286"/>
        </w:tcBorders>
      </w:tcPr>
    </w:tblStylePr>
    <w:tblStylePr w:type="lastRow">
      <w:rPr>
        <w:b/>
        <w:color w:val="404040"/>
      </w:rPr>
    </w:tblStylePr>
  </w:style>
  <w:style w:type="table" w:styleId="GridTable1Light-Accent3" w:customStyle="1">
    <w:name w:val="Grid Table 1 Light - Accent 3"/>
    <w:basedOn w:val="Tabelanormal"/>
    <w:uiPriority w:val="99"/>
    <w:tblPr>
      <w:tblStyleRowBandSize w:val="1"/>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band1Horz">
      <w:rPr>
        <w:rFonts w:ascii="Arial" w:hAnsi="Arial"/>
        <w:color w:val="404040"/>
        <w:sz w:val="22"/>
      </w:rPr>
      <w:tcPr>
        <w:tcBorders>
          <w:top w:val="single" w:sz="4" w:space="0" w:color="DADADA"/>
          <w:left w:val="single" w:sz="4" w:space="0" w:color="DADADA"/>
          <w:bottom w:val="single" w:sz="4" w:space="0" w:color="DADADA"/>
          <w:right w:val="single" w:sz="4" w:space="0" w:color="DADADA"/>
        </w:tcBorders>
      </w:tcPr>
    </w:tblStylePr>
    <w:tblStylePr w:type="firstCol">
      <w:rPr>
        <w:b/>
        <w:color w:val="404040"/>
      </w:rPr>
    </w:tblStylePr>
    <w:tblStylePr w:type="lastCol">
      <w:rPr>
        <w:b/>
        <w:color w:val="404040"/>
      </w:rPr>
    </w:tblStylePr>
    <w:tblStylePr w:type="firstRow">
      <w:rPr>
        <w:b/>
        <w:color w:val="404040"/>
      </w:rPr>
      <w:tcPr>
        <w:tcBorders>
          <w:bottom w:val="single" w:sz="12" w:space="0" w:color="CACACA"/>
        </w:tcBorders>
      </w:tcPr>
    </w:tblStylePr>
    <w:tblStylePr w:type="lastRow">
      <w:rPr>
        <w:b/>
        <w:color w:val="404040"/>
      </w:rPr>
    </w:tblStylePr>
  </w:style>
  <w:style w:type="table" w:styleId="GridTable1Light-Accent4" w:customStyle="1">
    <w:name w:val="Grid Table 1 Light - Accent 4"/>
    <w:basedOn w:val="Tabelanormal"/>
    <w:uiPriority w:val="99"/>
    <w:tblPr>
      <w:tblStyleRowBandSize w:val="1"/>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band1Horz">
      <w:rPr>
        <w:rFonts w:ascii="Arial" w:hAnsi="Arial"/>
        <w:color w:val="404040"/>
        <w:sz w:val="22"/>
      </w:rPr>
      <w:tcPr>
        <w:tcBorders>
          <w:top w:val="single" w:sz="4" w:space="0" w:color="FFE598"/>
          <w:left w:val="single" w:sz="4" w:space="0" w:color="FFE598"/>
          <w:bottom w:val="single" w:sz="4" w:space="0" w:color="FFE598"/>
          <w:right w:val="single" w:sz="4" w:space="0" w:color="FFE598"/>
        </w:tcBorders>
      </w:tcPr>
    </w:tblStylePr>
    <w:tblStylePr w:type="firstCol">
      <w:rPr>
        <w:b/>
        <w:color w:val="404040"/>
      </w:rPr>
    </w:tblStylePr>
    <w:tblStylePr w:type="lastCol">
      <w:rPr>
        <w:b/>
        <w:color w:val="404040"/>
      </w:rPr>
    </w:tblStylePr>
    <w:tblStylePr w:type="firstRow">
      <w:rPr>
        <w:b/>
        <w:color w:val="404040"/>
      </w:rPr>
      <w:tcPr>
        <w:tcBorders>
          <w:bottom w:val="single" w:sz="12" w:space="0" w:color="FFDA6A"/>
        </w:tcBorders>
      </w:tcPr>
    </w:tblStylePr>
    <w:tblStylePr w:type="lastRow">
      <w:rPr>
        <w:b/>
        <w:color w:val="404040"/>
      </w:rPr>
    </w:tblStylePr>
  </w:style>
  <w:style w:type="table" w:styleId="GridTable1Light-Accent5" w:customStyle="1">
    <w:name w:val="Grid Table 1 Light - Accent 5"/>
    <w:basedOn w:val="Tabelanormal"/>
    <w:uiPriority w:val="99"/>
    <w:tblPr>
      <w:tblStyleRowBandSize w:val="1"/>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band1Horz">
      <w:rPr>
        <w:rFonts w:ascii="Arial" w:hAnsi="Arial"/>
        <w:color w:val="404040"/>
        <w:sz w:val="22"/>
      </w:rPr>
      <w:tcPr>
        <w:tcBorders>
          <w:top w:val="single" w:sz="4" w:space="0" w:color="BCD6EE"/>
          <w:left w:val="single" w:sz="4" w:space="0" w:color="BCD6EE"/>
          <w:bottom w:val="single" w:sz="4" w:space="0" w:color="BCD6EE"/>
          <w:right w:val="single" w:sz="4" w:space="0" w:color="BCD6EE"/>
        </w:tcBorders>
      </w:tcPr>
    </w:tblStylePr>
    <w:tblStylePr w:type="firstCol">
      <w:rPr>
        <w:b/>
        <w:color w:val="404040"/>
      </w:rPr>
    </w:tblStylePr>
    <w:tblStylePr w:type="lastCol">
      <w:rPr>
        <w:b/>
        <w:color w:val="404040"/>
      </w:rPr>
    </w:tblStylePr>
    <w:tblStylePr w:type="firstRow">
      <w:rPr>
        <w:b/>
        <w:color w:val="404040"/>
      </w:rPr>
      <w:tcPr>
        <w:tcBorders>
          <w:bottom w:val="single" w:sz="12" w:space="0" w:color="9EC4E6"/>
        </w:tcBorders>
      </w:tcPr>
    </w:tblStylePr>
    <w:tblStylePr w:type="lastRow">
      <w:rPr>
        <w:b/>
        <w:color w:val="404040"/>
      </w:rPr>
    </w:tblStylePr>
  </w:style>
  <w:style w:type="table" w:styleId="GridTable1Light-Accent6" w:customStyle="1">
    <w:name w:val="Grid Table 1 Light - Accent 6"/>
    <w:basedOn w:val="Tabelanormal"/>
    <w:uiPriority w:val="99"/>
    <w:tblPr>
      <w:tblStyleRowBandSize w:val="1"/>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band1Horz">
      <w:rPr>
        <w:rFonts w:ascii="Arial" w:hAnsi="Arial"/>
        <w:color w:val="404040"/>
        <w:sz w:val="22"/>
      </w:rPr>
      <w:tcPr>
        <w:tcBorders>
          <w:top w:val="single" w:sz="4" w:space="0" w:color="C4DFB2"/>
          <w:left w:val="single" w:sz="4" w:space="0" w:color="C4DFB2"/>
          <w:bottom w:val="single" w:sz="4" w:space="0" w:color="C4DFB2"/>
          <w:right w:val="single" w:sz="4" w:space="0" w:color="C4DFB2"/>
        </w:tcBorders>
      </w:tcPr>
    </w:tblStylePr>
    <w:tblStylePr w:type="firstCol">
      <w:rPr>
        <w:b/>
        <w:color w:val="404040"/>
      </w:rPr>
    </w:tblStylePr>
    <w:tblStylePr w:type="lastCol">
      <w:rPr>
        <w:b/>
        <w:color w:val="404040"/>
      </w:rPr>
    </w:tblStylePr>
    <w:tblStylePr w:type="firstRow">
      <w:rPr>
        <w:b/>
        <w:color w:val="404040"/>
      </w:rPr>
      <w:tcPr>
        <w:tcBorders>
          <w:bottom w:val="single" w:sz="12" w:space="0" w:color="AAD190"/>
        </w:tcBorders>
      </w:tcPr>
    </w:tblStylePr>
    <w:tblStylePr w:type="lastRow">
      <w:rPr>
        <w:b/>
        <w:color w:val="404040"/>
      </w:rPr>
    </w:tblStylePr>
  </w:style>
  <w:style w:type="table" w:styleId="TabeladeGrade2">
    <w:name w:val="Grid Table 2"/>
    <w:basedOn w:val="Tabelanormal"/>
    <w:uiPriority w:val="99"/>
    <w:tblPr>
      <w:tblStyleRowBandSize w:val="1"/>
      <w:tblBorders>
        <w:bottom w:val="single" w:sz="4" w:space="0" w:color="6A6A6A"/>
        <w:insideH w:val="single" w:sz="4" w:space="0" w:color="6A6A6A"/>
        <w:insideV w:val="single" w:sz="4" w:space="0" w:color="6A6A6A"/>
      </w:tblBorders>
    </w:tblPr>
    <w:tblStylePr w:type="band1Vert">
      <w:rPr>
        <w:rFonts w:ascii="Arial" w:hAnsi="Arial"/>
        <w:color w:val="404040"/>
        <w:sz w:val="22"/>
      </w:rPr>
      <w:tcPr>
        <w:shd w:val="clear" w:color="auto" w:fill="CBCBCB"/>
      </w:tcPr>
    </w:tblStylePr>
    <w:tblStylePr w:type="band1Horz">
      <w:rPr>
        <w:rFonts w:ascii="Arial" w:hAnsi="Arial"/>
        <w:color w:val="404040"/>
        <w:sz w:val="22"/>
      </w:rPr>
      <w:tcPr>
        <w:shd w:val="clear" w:color="auto" w:fill="CBCBCB"/>
      </w:tcPr>
    </w:tblStylePr>
    <w:tblStylePr w:type="firstCol">
      <w:rPr>
        <w:b/>
        <w:color w:val="404040"/>
      </w:rPr>
    </w:tblStylePr>
    <w:tblStylePr w:type="lastCol">
      <w:rPr>
        <w:b/>
        <w:color w:val="404040"/>
      </w:rPr>
    </w:tblStylePr>
    <w:tblStylePr w:type="firstRow">
      <w:rPr>
        <w:b/>
        <w:color w:val="404040"/>
      </w:rPr>
      <w:tcPr>
        <w:tcBorders>
          <w:top w:val="nil" w:sz="4" w:space="0" w:color="auto"/>
          <w:left w:val="nil" w:sz="4" w:space="0" w:color="auto"/>
          <w:bottom w:val="single" w:sz="12" w:space="0" w:color="6A6A6A"/>
          <w:right w:val="nil" w:sz="4" w:space="0" w:color="auto"/>
        </w:tcBorders>
      </w:tcPr>
    </w:tblStylePr>
    <w:tblStylePr w:type="lastRow">
      <w:rPr>
        <w:b/>
        <w:color w:val="404040"/>
      </w:rPr>
      <w:tcPr>
        <w:tcBorders>
          <w:top w:val="single" w:sz="4" w:space="0" w:color="6A6A6A"/>
          <w:left w:val="nil" w:sz="4" w:space="0" w:color="auto"/>
          <w:bottom w:val="nil" w:sz="4" w:space="0" w:color="auto"/>
          <w:right w:val="nil" w:sz="4" w:space="0" w:color="auto"/>
        </w:tcBorders>
      </w:tcPr>
    </w:tblStylePr>
  </w:style>
  <w:style w:type="table" w:styleId="GridTable2-Accent1" w:customStyle="1">
    <w:name w:val="Grid Table 2 - Accent 1"/>
    <w:basedOn w:val="Tabelanormal"/>
    <w:uiPriority w:val="99"/>
    <w:tblPr>
      <w:tblStyleRowBandSize w:val="1"/>
      <w:tblBorders>
        <w:bottom w:val="single" w:sz="4" w:space="0" w:color="537DC8"/>
        <w:insideH w:val="single" w:sz="4" w:space="0" w:color="537DC8"/>
        <w:insideV w:val="single" w:sz="4" w:space="0" w:color="537DC8"/>
      </w:tblBorders>
    </w:tblPr>
    <w:tblStylePr w:type="band1Vert">
      <w:rPr>
        <w:rFonts w:ascii="Arial" w:hAnsi="Arial"/>
        <w:color w:val="404040"/>
        <w:sz w:val="22"/>
      </w:rPr>
      <w:tcPr>
        <w:shd w:val="clear" w:color="auto" w:fill="D9E2F3"/>
      </w:tcPr>
    </w:tblStylePr>
    <w:tblStylePr w:type="band1Horz">
      <w:rPr>
        <w:rFonts w:ascii="Arial" w:hAnsi="Arial"/>
        <w:color w:val="404040"/>
        <w:sz w:val="22"/>
      </w:rPr>
      <w:tcPr>
        <w:shd w:val="clear" w:color="auto" w:fill="D9E2F3"/>
      </w:tcPr>
    </w:tblStylePr>
    <w:tblStylePr w:type="firstCol">
      <w:rPr>
        <w:b/>
        <w:color w:val="404040"/>
      </w:rPr>
    </w:tblStylePr>
    <w:tblStylePr w:type="lastCol">
      <w:rPr>
        <w:b/>
        <w:color w:val="404040"/>
      </w:rPr>
    </w:tblStylePr>
    <w:tblStylePr w:type="firstRow">
      <w:rPr>
        <w:b/>
        <w:color w:val="404040"/>
      </w:rPr>
      <w:tcPr>
        <w:tcBorders>
          <w:top w:val="nil" w:sz="4" w:space="0" w:color="auto"/>
          <w:left w:val="nil" w:sz="4" w:space="0" w:color="auto"/>
          <w:bottom w:val="single" w:sz="12" w:space="0" w:color="537DC8"/>
          <w:right w:val="nil" w:sz="4" w:space="0" w:color="auto"/>
        </w:tcBorders>
      </w:tcPr>
    </w:tblStylePr>
    <w:tblStylePr w:type="lastRow">
      <w:rPr>
        <w:b/>
        <w:color w:val="404040"/>
      </w:rPr>
      <w:tcPr>
        <w:tcBorders>
          <w:top w:val="single" w:sz="4" w:space="0" w:color="537DC8"/>
          <w:left w:val="nil" w:sz="4" w:space="0" w:color="auto"/>
          <w:bottom w:val="nil" w:sz="4" w:space="0" w:color="auto"/>
          <w:right w:val="nil" w:sz="4" w:space="0" w:color="auto"/>
        </w:tcBorders>
      </w:tcPr>
    </w:tblStylePr>
  </w:style>
  <w:style w:type="table" w:styleId="GridTable2-Accent2" w:customStyle="1">
    <w:name w:val="Grid Table 2 - Accent 2"/>
    <w:basedOn w:val="Tabelanormal"/>
    <w:uiPriority w:val="99"/>
    <w:tblPr>
      <w:tblStyleRowBandSize w:val="1"/>
      <w:tblBorders>
        <w:bottom w:val="single" w:sz="4" w:space="0" w:color="F4B184"/>
        <w:insideH w:val="single" w:sz="4" w:space="0" w:color="F4B184"/>
        <w:insideV w:val="single" w:sz="4" w:space="0" w:color="F4B184"/>
      </w:tblBorders>
    </w:tblPr>
    <w:tblStylePr w:type="band1Vert">
      <w:rPr>
        <w:rFonts w:ascii="Arial" w:hAnsi="Arial"/>
        <w:color w:val="404040"/>
        <w:sz w:val="22"/>
      </w:rPr>
      <w:tcPr>
        <w:shd w:val="clear" w:color="auto" w:fill="FBE6D7"/>
      </w:tcPr>
    </w:tblStylePr>
    <w:tblStylePr w:type="band1Horz">
      <w:rPr>
        <w:rFonts w:ascii="Arial" w:hAnsi="Arial"/>
        <w:color w:val="404040"/>
        <w:sz w:val="22"/>
      </w:rPr>
      <w:tcPr>
        <w:shd w:val="clear" w:color="auto" w:fill="FBE6D7"/>
      </w:tcPr>
    </w:tblStylePr>
    <w:tblStylePr w:type="firstCol">
      <w:rPr>
        <w:b/>
        <w:color w:val="404040"/>
      </w:rPr>
    </w:tblStylePr>
    <w:tblStylePr w:type="lastCol">
      <w:rPr>
        <w:b/>
        <w:color w:val="404040"/>
      </w:rPr>
    </w:tblStylePr>
    <w:tblStylePr w:type="firstRow">
      <w:rPr>
        <w:b/>
        <w:color w:val="404040"/>
      </w:rPr>
      <w:tcPr>
        <w:tcBorders>
          <w:top w:val="nil" w:sz="4" w:space="0" w:color="auto"/>
          <w:left w:val="nil" w:sz="4" w:space="0" w:color="auto"/>
          <w:bottom w:val="single" w:sz="12" w:space="0" w:color="F4B184"/>
          <w:right w:val="nil" w:sz="4" w:space="0" w:color="auto"/>
        </w:tcBorders>
      </w:tcPr>
    </w:tblStylePr>
    <w:tblStylePr w:type="lastRow">
      <w:rPr>
        <w:b/>
        <w:color w:val="404040"/>
      </w:rPr>
      <w:tcPr>
        <w:tcBorders>
          <w:top w:val="single" w:sz="4" w:space="0" w:color="F4B184"/>
          <w:left w:val="nil" w:sz="4" w:space="0" w:color="auto"/>
          <w:bottom w:val="nil" w:sz="4" w:space="0" w:color="auto"/>
          <w:right w:val="nil" w:sz="4" w:space="0" w:color="auto"/>
        </w:tcBorders>
      </w:tcPr>
    </w:tblStylePr>
  </w:style>
  <w:style w:type="table" w:styleId="GridTable2-Accent3" w:customStyle="1">
    <w:name w:val="Grid Table 2 - Accent 3"/>
    <w:basedOn w:val="Tabelanormal"/>
    <w:uiPriority w:val="99"/>
    <w:tblPr>
      <w:tblStyleRowBandSize w:val="1"/>
      <w:tblBorders>
        <w:bottom w:val="single" w:sz="4" w:space="0" w:color="A5A5A5"/>
        <w:insideH w:val="single" w:sz="4" w:space="0" w:color="A5A5A5"/>
        <w:insideV w:val="single" w:sz="4" w:space="0" w:color="A5A5A5"/>
      </w:tblBorders>
    </w:tblPr>
    <w:tblStylePr w:type="band1Vert">
      <w:rPr>
        <w:rFonts w:ascii="Arial" w:hAnsi="Arial"/>
        <w:color w:val="404040"/>
        <w:sz w:val="22"/>
      </w:rPr>
      <w:tcPr>
        <w:shd w:val="clear" w:color="auto" w:fill="EDEDED"/>
      </w:tcPr>
    </w:tblStylePr>
    <w:tblStylePr w:type="band1Horz">
      <w:rPr>
        <w:rFonts w:ascii="Arial" w:hAnsi="Arial"/>
        <w:color w:val="404040"/>
        <w:sz w:val="22"/>
      </w:rPr>
      <w:tcPr>
        <w:shd w:val="clear" w:color="auto" w:fill="EDEDED"/>
      </w:tcPr>
    </w:tblStylePr>
    <w:tblStylePr w:type="firstCol">
      <w:rPr>
        <w:b/>
        <w:color w:val="404040"/>
      </w:rPr>
    </w:tblStylePr>
    <w:tblStylePr w:type="lastCol">
      <w:rPr>
        <w:b/>
        <w:color w:val="404040"/>
      </w:rPr>
    </w:tblStylePr>
    <w:tblStylePr w:type="firstRow">
      <w:rPr>
        <w:b/>
        <w:color w:val="404040"/>
      </w:rPr>
      <w:tcPr>
        <w:tcBorders>
          <w:top w:val="nil" w:sz="4" w:space="0" w:color="auto"/>
          <w:left w:val="nil" w:sz="4" w:space="0" w:color="auto"/>
          <w:bottom w:val="single" w:sz="12" w:space="0" w:color="A5A5A5"/>
          <w:right w:val="nil" w:sz="4" w:space="0" w:color="auto"/>
        </w:tcBorders>
      </w:tcPr>
    </w:tblStylePr>
    <w:tblStylePr w:type="lastRow">
      <w:rPr>
        <w:b/>
        <w:color w:val="404040"/>
      </w:rPr>
      <w:tcPr>
        <w:tcBorders>
          <w:top w:val="single" w:sz="4" w:space="0" w:color="A5A5A5"/>
          <w:left w:val="nil" w:sz="4" w:space="0" w:color="auto"/>
          <w:bottom w:val="nil" w:sz="4" w:space="0" w:color="auto"/>
          <w:right w:val="nil" w:sz="4" w:space="0" w:color="auto"/>
        </w:tcBorders>
      </w:tcPr>
    </w:tblStylePr>
  </w:style>
  <w:style w:type="table" w:styleId="GridTable2-Accent4" w:customStyle="1">
    <w:name w:val="Grid Table 2 - Accent 4"/>
    <w:basedOn w:val="Tabelanormal"/>
    <w:uiPriority w:val="99"/>
    <w:tblPr>
      <w:tblStyleRowBandSize w:val="1"/>
      <w:tblBorders>
        <w:bottom w:val="single" w:sz="4" w:space="0" w:color="FFD865"/>
        <w:insideH w:val="single" w:sz="4" w:space="0" w:color="FFD865"/>
        <w:insideV w:val="single" w:sz="4" w:space="0" w:color="FFD865"/>
      </w:tblBorders>
    </w:tblPr>
    <w:tblStylePr w:type="band1Vert">
      <w:rPr>
        <w:rFonts w:ascii="Arial" w:hAnsi="Arial"/>
        <w:color w:val="404040"/>
        <w:sz w:val="22"/>
      </w:rPr>
      <w:tcPr>
        <w:shd w:val="clear" w:color="auto" w:fill="FFF2CB"/>
      </w:tcPr>
    </w:tblStylePr>
    <w:tblStylePr w:type="band1Horz">
      <w:rPr>
        <w:rFonts w:ascii="Arial" w:hAnsi="Arial"/>
        <w:color w:val="404040"/>
        <w:sz w:val="22"/>
      </w:rPr>
      <w:tcPr>
        <w:shd w:val="clear" w:color="auto" w:fill="FFF2CB"/>
      </w:tcPr>
    </w:tblStylePr>
    <w:tblStylePr w:type="firstCol">
      <w:rPr>
        <w:b/>
        <w:color w:val="404040"/>
      </w:rPr>
    </w:tblStylePr>
    <w:tblStylePr w:type="lastCol">
      <w:rPr>
        <w:b/>
        <w:color w:val="404040"/>
      </w:rPr>
    </w:tblStylePr>
    <w:tblStylePr w:type="firstRow">
      <w:rPr>
        <w:b/>
        <w:color w:val="404040"/>
      </w:rPr>
      <w:tcPr>
        <w:tcBorders>
          <w:top w:val="nil" w:sz="4" w:space="0" w:color="auto"/>
          <w:left w:val="nil" w:sz="4" w:space="0" w:color="auto"/>
          <w:bottom w:val="single" w:sz="12" w:space="0" w:color="FFD865"/>
          <w:right w:val="nil" w:sz="4" w:space="0" w:color="auto"/>
        </w:tcBorders>
      </w:tcPr>
    </w:tblStylePr>
    <w:tblStylePr w:type="lastRow">
      <w:rPr>
        <w:b/>
        <w:color w:val="404040"/>
      </w:rPr>
      <w:tcPr>
        <w:tcBorders>
          <w:top w:val="single" w:sz="4" w:space="0" w:color="FFD865"/>
          <w:left w:val="nil" w:sz="4" w:space="0" w:color="auto"/>
          <w:bottom w:val="nil" w:sz="4" w:space="0" w:color="auto"/>
          <w:right w:val="nil" w:sz="4" w:space="0" w:color="auto"/>
        </w:tcBorders>
      </w:tcPr>
    </w:tblStylePr>
  </w:style>
  <w:style w:type="table" w:styleId="GridTable2-Accent5" w:customStyle="1">
    <w:name w:val="Grid Table 2 - Accent 5"/>
    <w:basedOn w:val="Tabelanormal"/>
    <w:uiPriority w:val="99"/>
    <w:tblPr>
      <w:tblStyleRowBandSize w:val="1"/>
      <w:tblBorders>
        <w:bottom w:val="single" w:sz="4" w:space="0" w:color="5B9BD5"/>
        <w:insideH w:val="single" w:sz="4" w:space="0" w:color="5B9BD5"/>
        <w:insideV w:val="single" w:sz="4" w:space="0" w:color="5B9BD5"/>
      </w:tblBorders>
    </w:tblPr>
    <w:tblStylePr w:type="band1Vert">
      <w:rPr>
        <w:rFonts w:ascii="Arial" w:hAnsi="Arial"/>
        <w:color w:val="404040"/>
        <w:sz w:val="22"/>
      </w:rPr>
      <w:tcPr>
        <w:shd w:val="clear" w:color="auto" w:fill="DEEBF6"/>
      </w:tcPr>
    </w:tblStylePr>
    <w:tblStylePr w:type="band1Horz">
      <w:rPr>
        <w:rFonts w:ascii="Arial" w:hAnsi="Arial"/>
        <w:color w:val="404040"/>
        <w:sz w:val="22"/>
      </w:rPr>
      <w:tcPr>
        <w:shd w:val="clear" w:color="auto" w:fill="DEEBF6"/>
      </w:tcPr>
    </w:tblStylePr>
    <w:tblStylePr w:type="firstCol">
      <w:rPr>
        <w:b/>
        <w:color w:val="404040"/>
      </w:rPr>
    </w:tblStylePr>
    <w:tblStylePr w:type="lastCol">
      <w:rPr>
        <w:b/>
        <w:color w:val="404040"/>
      </w:rPr>
    </w:tblStylePr>
    <w:tblStylePr w:type="firstRow">
      <w:rPr>
        <w:b/>
        <w:color w:val="404040"/>
      </w:rPr>
      <w:tcPr>
        <w:tcBorders>
          <w:top w:val="nil" w:sz="4" w:space="0" w:color="auto"/>
          <w:left w:val="nil" w:sz="4" w:space="0" w:color="auto"/>
          <w:bottom w:val="single" w:sz="12" w:space="0" w:color="5B9BD5"/>
          <w:right w:val="nil" w:sz="4" w:space="0" w:color="auto"/>
        </w:tcBorders>
      </w:tcPr>
    </w:tblStylePr>
    <w:tblStylePr w:type="lastRow">
      <w:rPr>
        <w:b/>
        <w:color w:val="404040"/>
      </w:rPr>
      <w:tcPr>
        <w:tcBorders>
          <w:top w:val="single" w:sz="4" w:space="0" w:color="5B9BD5"/>
          <w:left w:val="nil" w:sz="4" w:space="0" w:color="auto"/>
          <w:bottom w:val="nil" w:sz="4" w:space="0" w:color="auto"/>
          <w:right w:val="nil" w:sz="4" w:space="0" w:color="auto"/>
        </w:tcBorders>
      </w:tcPr>
    </w:tblStylePr>
  </w:style>
  <w:style w:type="table" w:styleId="GridTable2-Accent6" w:customStyle="1">
    <w:name w:val="Grid Table 2 - Accent 6"/>
    <w:basedOn w:val="Tabelanormal"/>
    <w:uiPriority w:val="99"/>
    <w:tblPr>
      <w:tblStyleRowBandSize w:val="1"/>
      <w:tblBorders>
        <w:bottom w:val="single" w:sz="4" w:space="0" w:color="70AD47"/>
        <w:insideH w:val="single" w:sz="4" w:space="0" w:color="70AD47"/>
        <w:insideV w:val="single" w:sz="4" w:space="0" w:color="70AD47"/>
      </w:tblBorders>
    </w:tblPr>
    <w:tblStylePr w:type="band1Vert">
      <w:rPr>
        <w:rFonts w:ascii="Arial" w:hAnsi="Arial"/>
        <w:color w:val="404040"/>
        <w:sz w:val="22"/>
      </w:rPr>
      <w:tcPr>
        <w:shd w:val="clear" w:color="auto" w:fill="E2EFD9"/>
      </w:tcPr>
    </w:tblStylePr>
    <w:tblStylePr w:type="band1Horz">
      <w:rPr>
        <w:rFonts w:ascii="Arial" w:hAnsi="Arial"/>
        <w:color w:val="404040"/>
        <w:sz w:val="22"/>
      </w:rPr>
      <w:tcPr>
        <w:shd w:val="clear" w:color="auto" w:fill="E2EFD9"/>
      </w:tcPr>
    </w:tblStylePr>
    <w:tblStylePr w:type="firstCol">
      <w:rPr>
        <w:b/>
        <w:color w:val="404040"/>
      </w:rPr>
    </w:tblStylePr>
    <w:tblStylePr w:type="lastCol">
      <w:rPr>
        <w:b/>
        <w:color w:val="404040"/>
      </w:rPr>
    </w:tblStylePr>
    <w:tblStylePr w:type="firstRow">
      <w:rPr>
        <w:b/>
        <w:color w:val="404040"/>
      </w:rPr>
      <w:tcPr>
        <w:tcBorders>
          <w:top w:val="nil" w:sz="4" w:space="0" w:color="auto"/>
          <w:left w:val="nil" w:sz="4" w:space="0" w:color="auto"/>
          <w:bottom w:val="single" w:sz="12" w:space="0" w:color="70AD47"/>
          <w:right w:val="nil" w:sz="4" w:space="0" w:color="auto"/>
        </w:tcBorders>
      </w:tcPr>
    </w:tblStylePr>
    <w:tblStylePr w:type="lastRow">
      <w:rPr>
        <w:b/>
        <w:color w:val="404040"/>
      </w:rPr>
      <w:tcPr>
        <w:tcBorders>
          <w:top w:val="single" w:sz="4" w:space="0" w:color="70AD47"/>
          <w:left w:val="nil" w:sz="4" w:space="0" w:color="auto"/>
          <w:bottom w:val="nil" w:sz="4" w:space="0" w:color="auto"/>
          <w:right w:val="nil" w:sz="4" w:space="0" w:color="auto"/>
        </w:tcBorders>
      </w:tcPr>
    </w:tblStylePr>
  </w:style>
  <w:style w:type="table" w:styleId="TabeladeGrade3">
    <w:name w:val="Grid Table 3"/>
    <w:basedOn w:val="Tabelanormal"/>
    <w:uiPriority w:val="99"/>
    <w:tblPr>
      <w:tblStyleRowBandSize w:val="1"/>
      <w:tblBorders>
        <w:bottom w:val="single" w:sz="4" w:space="0" w:color="6A6A6A"/>
        <w:insideH w:val="single" w:sz="4" w:space="0" w:color="6A6A6A"/>
        <w:insideV w:val="single" w:sz="4" w:space="0" w:color="6A6A6A"/>
      </w:tblBorders>
    </w:tblPr>
    <w:tblStylePr w:type="band1Vert">
      <w:rPr>
        <w:rFonts w:ascii="Arial" w:hAnsi="Arial"/>
        <w:color w:val="404040"/>
        <w:sz w:val="22"/>
      </w:rPr>
      <w:tcPr>
        <w:shd w:val="clear" w:color="auto" w:fill="CBCBCB"/>
      </w:tcPr>
    </w:tblStylePr>
    <w:tblStylePr w:type="band1Horz">
      <w:rPr>
        <w:rFonts w:ascii="Arial" w:hAnsi="Arial"/>
        <w:color w:val="404040"/>
        <w:sz w:val="22"/>
      </w:rPr>
      <w:tcPr>
        <w:shd w:val="clear" w:color="auto" w:fill="CBCBCB"/>
      </w:tcPr>
    </w:tblStylePr>
    <w:tblStylePr w:type="firstCol">
      <w:pPr>
        <w:jc w:val="right"/>
      </w:pPr>
      <w:rPr>
        <w:i/>
        <w:color w:val="404040"/>
      </w:rPr>
      <w:tcPr>
        <w:tcBorders>
          <w:top w:val="nil" w:sz="4" w:space="0" w:color="auto"/>
          <w:left w:val="nil" w:sz="4" w:space="0" w:color="auto"/>
          <w:bottom w:val="nil" w:sz="4" w:space="0" w:color="auto"/>
          <w:right w:val="nil" w:sz="4" w:space="0" w:color="auto"/>
        </w:tcBorders>
      </w:tcPr>
    </w:tblStylePr>
    <w:tblStylePr w:type="lastCol">
      <w:rPr>
        <w:i/>
        <w:color w:val="404040"/>
      </w:rPr>
      <w:tcPr>
        <w:tcBorders>
          <w:top w:val="nil" w:sz="4" w:space="0" w:color="auto"/>
          <w:left w:val="nil" w:sz="4" w:space="0" w:color="auto"/>
          <w:bottom w:val="nil" w:sz="4" w:space="0" w:color="auto"/>
          <w:right w:val="nil" w:sz="4" w:space="0" w:color="auto"/>
        </w:tcBorders>
      </w:tcPr>
    </w:tblStylePr>
    <w:tblStylePr w:type="firstRow">
      <w:rPr>
        <w:b/>
        <w:color w:val="404040"/>
      </w:rPr>
      <w:tcPr>
        <w:tcBorders>
          <w:top w:val="nil" w:sz="4" w:space="0" w:color="auto"/>
          <w:left w:val="nil" w:sz="4" w:space="0" w:color="auto"/>
          <w:bottom w:val="nil" w:sz="4" w:space="0" w:color="auto"/>
          <w:right w:val="nil" w:sz="4" w:space="0" w:color="auto"/>
        </w:tcBorders>
      </w:tcPr>
    </w:tblStylePr>
    <w:tblStylePr w:type="lastRow">
      <w:rPr>
        <w:b/>
        <w:color w:val="404040"/>
      </w:rPr>
      <w:tcPr>
        <w:tcBorders>
          <w:top w:val="nil" w:sz="4" w:space="0" w:color="auto"/>
          <w:left w:val="nil" w:sz="4" w:space="0" w:color="auto"/>
          <w:bottom w:val="nil" w:sz="4" w:space="0" w:color="auto"/>
          <w:right w:val="nil" w:sz="4" w:space="0" w:color="auto"/>
        </w:tcBorders>
      </w:tcPr>
    </w:tblStylePr>
  </w:style>
  <w:style w:type="table" w:styleId="GridTable3-Accent1" w:customStyle="1">
    <w:name w:val="Grid Table 3 - Accent 1"/>
    <w:basedOn w:val="Tabelanormal"/>
    <w:uiPriority w:val="99"/>
    <w:tblPr>
      <w:tblStyleRowBandSize w:val="1"/>
      <w:tblBorders>
        <w:bottom w:val="single" w:sz="4" w:space="0" w:color="537DC8"/>
        <w:insideH w:val="single" w:sz="4" w:space="0" w:color="537DC8"/>
        <w:insideV w:val="single" w:sz="4" w:space="0" w:color="537DC8"/>
      </w:tblBorders>
    </w:tblPr>
    <w:tblStylePr w:type="band1Vert">
      <w:rPr>
        <w:rFonts w:ascii="Arial" w:hAnsi="Arial"/>
        <w:color w:val="404040"/>
        <w:sz w:val="22"/>
      </w:rPr>
      <w:tcPr>
        <w:shd w:val="clear" w:color="auto" w:fill="D9E2F3"/>
      </w:tcPr>
    </w:tblStylePr>
    <w:tblStylePr w:type="band1Horz">
      <w:rPr>
        <w:rFonts w:ascii="Arial" w:hAnsi="Arial"/>
        <w:color w:val="404040"/>
        <w:sz w:val="22"/>
      </w:rPr>
      <w:tcPr>
        <w:shd w:val="clear" w:color="auto" w:fill="D9E2F3"/>
      </w:tcPr>
    </w:tblStylePr>
    <w:tblStylePr w:type="firstCol">
      <w:pPr>
        <w:jc w:val="right"/>
      </w:pPr>
      <w:rPr>
        <w:i/>
        <w:color w:val="404040"/>
      </w:rPr>
      <w:tcPr>
        <w:tcBorders>
          <w:top w:val="nil" w:sz="4" w:space="0" w:color="auto"/>
          <w:left w:val="nil" w:sz="4" w:space="0" w:color="auto"/>
          <w:bottom w:val="nil" w:sz="4" w:space="0" w:color="auto"/>
          <w:right w:val="nil" w:sz="4" w:space="0" w:color="auto"/>
        </w:tcBorders>
      </w:tcPr>
    </w:tblStylePr>
    <w:tblStylePr w:type="lastCol">
      <w:rPr>
        <w:i/>
        <w:color w:val="404040"/>
      </w:rPr>
      <w:tcPr>
        <w:tcBorders>
          <w:top w:val="nil" w:sz="4" w:space="0" w:color="auto"/>
          <w:left w:val="nil" w:sz="4" w:space="0" w:color="auto"/>
          <w:bottom w:val="nil" w:sz="4" w:space="0" w:color="auto"/>
          <w:right w:val="nil" w:sz="4" w:space="0" w:color="auto"/>
        </w:tcBorders>
      </w:tcPr>
    </w:tblStylePr>
    <w:tblStylePr w:type="firstRow">
      <w:rPr>
        <w:b/>
        <w:color w:val="404040"/>
      </w:rPr>
      <w:tcPr>
        <w:tcBorders>
          <w:top w:val="nil" w:sz="4" w:space="0" w:color="auto"/>
          <w:left w:val="nil" w:sz="4" w:space="0" w:color="auto"/>
          <w:bottom w:val="nil" w:sz="4" w:space="0" w:color="auto"/>
          <w:right w:val="nil" w:sz="4" w:space="0" w:color="auto"/>
        </w:tcBorders>
      </w:tcPr>
    </w:tblStylePr>
    <w:tblStylePr w:type="lastRow">
      <w:rPr>
        <w:b/>
        <w:color w:val="404040"/>
      </w:rPr>
      <w:tcPr>
        <w:tcBorders>
          <w:top w:val="nil" w:sz="4" w:space="0" w:color="auto"/>
          <w:left w:val="nil" w:sz="4" w:space="0" w:color="auto"/>
          <w:bottom w:val="nil" w:sz="4" w:space="0" w:color="auto"/>
          <w:right w:val="nil" w:sz="4" w:space="0" w:color="auto"/>
        </w:tcBorders>
      </w:tcPr>
    </w:tblStylePr>
  </w:style>
  <w:style w:type="table" w:styleId="GridTable3-Accent2" w:customStyle="1">
    <w:name w:val="Grid Table 3 - Accent 2"/>
    <w:basedOn w:val="Tabelanormal"/>
    <w:uiPriority w:val="99"/>
    <w:tblPr>
      <w:tblStyleRowBandSize w:val="1"/>
      <w:tblBorders>
        <w:bottom w:val="single" w:sz="4" w:space="0" w:color="F4B184"/>
        <w:insideH w:val="single" w:sz="4" w:space="0" w:color="F4B184"/>
        <w:insideV w:val="single" w:sz="4" w:space="0" w:color="F4B184"/>
      </w:tblBorders>
    </w:tblPr>
    <w:tblStylePr w:type="band1Vert">
      <w:rPr>
        <w:rFonts w:ascii="Arial" w:hAnsi="Arial"/>
        <w:color w:val="404040"/>
        <w:sz w:val="22"/>
      </w:rPr>
      <w:tcPr>
        <w:shd w:val="clear" w:color="auto" w:fill="FBE6D7"/>
      </w:tcPr>
    </w:tblStylePr>
    <w:tblStylePr w:type="band1Horz">
      <w:rPr>
        <w:rFonts w:ascii="Arial" w:hAnsi="Arial"/>
        <w:color w:val="404040"/>
        <w:sz w:val="22"/>
      </w:rPr>
      <w:tcPr>
        <w:shd w:val="clear" w:color="auto" w:fill="FBE6D7"/>
      </w:tcPr>
    </w:tblStylePr>
    <w:tblStylePr w:type="firstCol">
      <w:pPr>
        <w:jc w:val="right"/>
      </w:pPr>
      <w:rPr>
        <w:i/>
        <w:color w:val="404040"/>
      </w:rPr>
      <w:tcPr>
        <w:tcBorders>
          <w:top w:val="nil" w:sz="4" w:space="0" w:color="auto"/>
          <w:left w:val="nil" w:sz="4" w:space="0" w:color="auto"/>
          <w:bottom w:val="nil" w:sz="4" w:space="0" w:color="auto"/>
          <w:right w:val="nil" w:sz="4" w:space="0" w:color="auto"/>
        </w:tcBorders>
      </w:tcPr>
    </w:tblStylePr>
    <w:tblStylePr w:type="lastCol">
      <w:rPr>
        <w:i/>
        <w:color w:val="404040"/>
      </w:rPr>
      <w:tcPr>
        <w:tcBorders>
          <w:top w:val="nil" w:sz="4" w:space="0" w:color="auto"/>
          <w:left w:val="nil" w:sz="4" w:space="0" w:color="auto"/>
          <w:bottom w:val="nil" w:sz="4" w:space="0" w:color="auto"/>
          <w:right w:val="nil" w:sz="4" w:space="0" w:color="auto"/>
        </w:tcBorders>
      </w:tcPr>
    </w:tblStylePr>
    <w:tblStylePr w:type="firstRow">
      <w:rPr>
        <w:b/>
        <w:color w:val="404040"/>
      </w:rPr>
      <w:tcPr>
        <w:tcBorders>
          <w:top w:val="nil" w:sz="4" w:space="0" w:color="auto"/>
          <w:left w:val="nil" w:sz="4" w:space="0" w:color="auto"/>
          <w:bottom w:val="nil" w:sz="4" w:space="0" w:color="auto"/>
          <w:right w:val="nil" w:sz="4" w:space="0" w:color="auto"/>
        </w:tcBorders>
      </w:tcPr>
    </w:tblStylePr>
    <w:tblStylePr w:type="lastRow">
      <w:rPr>
        <w:b/>
        <w:color w:val="404040"/>
      </w:rPr>
      <w:tcPr>
        <w:tcBorders>
          <w:top w:val="nil" w:sz="4" w:space="0" w:color="auto"/>
          <w:left w:val="nil" w:sz="4" w:space="0" w:color="auto"/>
          <w:bottom w:val="nil" w:sz="4" w:space="0" w:color="auto"/>
          <w:right w:val="nil" w:sz="4" w:space="0" w:color="auto"/>
        </w:tcBorders>
      </w:tcPr>
    </w:tblStylePr>
  </w:style>
  <w:style w:type="table" w:styleId="GridTable3-Accent3" w:customStyle="1">
    <w:name w:val="Grid Table 3 - Accent 3"/>
    <w:basedOn w:val="Tabelanormal"/>
    <w:uiPriority w:val="99"/>
    <w:tblPr>
      <w:tblStyleRowBandSize w:val="1"/>
      <w:tblBorders>
        <w:bottom w:val="single" w:sz="4" w:space="0" w:color="A5A5A5"/>
        <w:insideH w:val="single" w:sz="4" w:space="0" w:color="A5A5A5"/>
        <w:insideV w:val="single" w:sz="4" w:space="0" w:color="A5A5A5"/>
      </w:tblBorders>
    </w:tblPr>
    <w:tblStylePr w:type="band1Vert">
      <w:rPr>
        <w:rFonts w:ascii="Arial" w:hAnsi="Arial"/>
        <w:color w:val="404040"/>
        <w:sz w:val="22"/>
      </w:rPr>
      <w:tcPr>
        <w:shd w:val="clear" w:color="auto" w:fill="EDEDED"/>
      </w:tcPr>
    </w:tblStylePr>
    <w:tblStylePr w:type="band1Horz">
      <w:rPr>
        <w:rFonts w:ascii="Arial" w:hAnsi="Arial"/>
        <w:color w:val="404040"/>
        <w:sz w:val="22"/>
      </w:rPr>
      <w:tcPr>
        <w:shd w:val="clear" w:color="auto" w:fill="EDEDED"/>
      </w:tcPr>
    </w:tblStylePr>
    <w:tblStylePr w:type="firstCol">
      <w:pPr>
        <w:jc w:val="right"/>
      </w:pPr>
      <w:rPr>
        <w:i/>
        <w:color w:val="404040"/>
      </w:rPr>
      <w:tcPr>
        <w:tcBorders>
          <w:top w:val="nil" w:sz="4" w:space="0" w:color="auto"/>
          <w:left w:val="nil" w:sz="4" w:space="0" w:color="auto"/>
          <w:bottom w:val="nil" w:sz="4" w:space="0" w:color="auto"/>
          <w:right w:val="nil" w:sz="4" w:space="0" w:color="auto"/>
        </w:tcBorders>
      </w:tcPr>
    </w:tblStylePr>
    <w:tblStylePr w:type="lastCol">
      <w:rPr>
        <w:i/>
        <w:color w:val="404040"/>
      </w:rPr>
      <w:tcPr>
        <w:tcBorders>
          <w:top w:val="nil" w:sz="4" w:space="0" w:color="auto"/>
          <w:left w:val="nil" w:sz="4" w:space="0" w:color="auto"/>
          <w:bottom w:val="nil" w:sz="4" w:space="0" w:color="auto"/>
          <w:right w:val="nil" w:sz="4" w:space="0" w:color="auto"/>
        </w:tcBorders>
      </w:tcPr>
    </w:tblStylePr>
    <w:tblStylePr w:type="firstRow">
      <w:rPr>
        <w:b/>
        <w:color w:val="404040"/>
      </w:rPr>
      <w:tcPr>
        <w:tcBorders>
          <w:top w:val="nil" w:sz="4" w:space="0" w:color="auto"/>
          <w:left w:val="nil" w:sz="4" w:space="0" w:color="auto"/>
          <w:bottom w:val="nil" w:sz="4" w:space="0" w:color="auto"/>
          <w:right w:val="nil" w:sz="4" w:space="0" w:color="auto"/>
        </w:tcBorders>
      </w:tcPr>
    </w:tblStylePr>
    <w:tblStylePr w:type="lastRow">
      <w:rPr>
        <w:b/>
        <w:color w:val="404040"/>
      </w:rPr>
      <w:tcPr>
        <w:tcBorders>
          <w:top w:val="nil" w:sz="4" w:space="0" w:color="auto"/>
          <w:left w:val="nil" w:sz="4" w:space="0" w:color="auto"/>
          <w:bottom w:val="nil" w:sz="4" w:space="0" w:color="auto"/>
          <w:right w:val="nil" w:sz="4" w:space="0" w:color="auto"/>
        </w:tcBorders>
      </w:tcPr>
    </w:tblStylePr>
  </w:style>
  <w:style w:type="table" w:styleId="GridTable3-Accent4" w:customStyle="1">
    <w:name w:val="Grid Table 3 - Accent 4"/>
    <w:basedOn w:val="Tabelanormal"/>
    <w:uiPriority w:val="99"/>
    <w:tblPr>
      <w:tblStyleRowBandSize w:val="1"/>
      <w:tblBorders>
        <w:bottom w:val="single" w:sz="4" w:space="0" w:color="FFD865"/>
        <w:insideH w:val="single" w:sz="4" w:space="0" w:color="FFD865"/>
        <w:insideV w:val="single" w:sz="4" w:space="0" w:color="FFD865"/>
      </w:tblBorders>
    </w:tblPr>
    <w:tblStylePr w:type="band1Vert">
      <w:rPr>
        <w:rFonts w:ascii="Arial" w:hAnsi="Arial"/>
        <w:color w:val="404040"/>
        <w:sz w:val="22"/>
      </w:rPr>
      <w:tcPr>
        <w:shd w:val="clear" w:color="auto" w:fill="FFF2CB"/>
      </w:tcPr>
    </w:tblStylePr>
    <w:tblStylePr w:type="band1Horz">
      <w:rPr>
        <w:rFonts w:ascii="Arial" w:hAnsi="Arial"/>
        <w:color w:val="404040"/>
        <w:sz w:val="22"/>
      </w:rPr>
      <w:tcPr>
        <w:shd w:val="clear" w:color="auto" w:fill="FFF2CB"/>
      </w:tcPr>
    </w:tblStylePr>
    <w:tblStylePr w:type="firstCol">
      <w:pPr>
        <w:jc w:val="right"/>
      </w:pPr>
      <w:rPr>
        <w:i/>
        <w:color w:val="404040"/>
      </w:rPr>
      <w:tcPr>
        <w:tcBorders>
          <w:top w:val="nil" w:sz="4" w:space="0" w:color="auto"/>
          <w:left w:val="nil" w:sz="4" w:space="0" w:color="auto"/>
          <w:bottom w:val="nil" w:sz="4" w:space="0" w:color="auto"/>
          <w:right w:val="nil" w:sz="4" w:space="0" w:color="auto"/>
        </w:tcBorders>
      </w:tcPr>
    </w:tblStylePr>
    <w:tblStylePr w:type="lastCol">
      <w:rPr>
        <w:i/>
        <w:color w:val="404040"/>
      </w:rPr>
      <w:tcPr>
        <w:tcBorders>
          <w:top w:val="nil" w:sz="4" w:space="0" w:color="auto"/>
          <w:left w:val="nil" w:sz="4" w:space="0" w:color="auto"/>
          <w:bottom w:val="nil" w:sz="4" w:space="0" w:color="auto"/>
          <w:right w:val="nil" w:sz="4" w:space="0" w:color="auto"/>
        </w:tcBorders>
      </w:tcPr>
    </w:tblStylePr>
    <w:tblStylePr w:type="firstRow">
      <w:rPr>
        <w:b/>
        <w:color w:val="404040"/>
      </w:rPr>
      <w:tcPr>
        <w:tcBorders>
          <w:top w:val="nil" w:sz="4" w:space="0" w:color="auto"/>
          <w:left w:val="nil" w:sz="4" w:space="0" w:color="auto"/>
          <w:bottom w:val="nil" w:sz="4" w:space="0" w:color="auto"/>
          <w:right w:val="nil" w:sz="4" w:space="0" w:color="auto"/>
        </w:tcBorders>
      </w:tcPr>
    </w:tblStylePr>
    <w:tblStylePr w:type="lastRow">
      <w:rPr>
        <w:b/>
        <w:color w:val="404040"/>
      </w:rPr>
      <w:tcPr>
        <w:tcBorders>
          <w:top w:val="nil" w:sz="4" w:space="0" w:color="auto"/>
          <w:left w:val="nil" w:sz="4" w:space="0" w:color="auto"/>
          <w:bottom w:val="nil" w:sz="4" w:space="0" w:color="auto"/>
          <w:right w:val="nil" w:sz="4" w:space="0" w:color="auto"/>
        </w:tcBorders>
      </w:tcPr>
    </w:tblStylePr>
  </w:style>
  <w:style w:type="table" w:styleId="GridTable3-Accent5" w:customStyle="1">
    <w:name w:val="Grid Table 3 - Accent 5"/>
    <w:basedOn w:val="Tabelanormal"/>
    <w:uiPriority w:val="99"/>
    <w:tblPr>
      <w:tblStyleRowBandSize w:val="1"/>
      <w:tblBorders>
        <w:bottom w:val="single" w:sz="4" w:space="0" w:color="5B9BD5"/>
        <w:insideH w:val="single" w:sz="4" w:space="0" w:color="5B9BD5"/>
        <w:insideV w:val="single" w:sz="4" w:space="0" w:color="5B9BD5"/>
      </w:tblBorders>
    </w:tblPr>
    <w:tblStylePr w:type="band1Vert">
      <w:rPr>
        <w:rFonts w:ascii="Arial" w:hAnsi="Arial"/>
        <w:color w:val="404040"/>
        <w:sz w:val="22"/>
      </w:rPr>
      <w:tcPr>
        <w:shd w:val="clear" w:color="auto" w:fill="DEEBF6"/>
      </w:tcPr>
    </w:tblStylePr>
    <w:tblStylePr w:type="band1Horz">
      <w:rPr>
        <w:rFonts w:ascii="Arial" w:hAnsi="Arial"/>
        <w:color w:val="404040"/>
        <w:sz w:val="22"/>
      </w:rPr>
      <w:tcPr>
        <w:shd w:val="clear" w:color="auto" w:fill="DEEBF6"/>
      </w:tcPr>
    </w:tblStylePr>
    <w:tblStylePr w:type="firstCol">
      <w:pPr>
        <w:jc w:val="right"/>
      </w:pPr>
      <w:rPr>
        <w:i/>
        <w:color w:val="404040"/>
      </w:rPr>
      <w:tcPr>
        <w:tcBorders>
          <w:top w:val="nil" w:sz="4" w:space="0" w:color="auto"/>
          <w:left w:val="nil" w:sz="4" w:space="0" w:color="auto"/>
          <w:bottom w:val="nil" w:sz="4" w:space="0" w:color="auto"/>
          <w:right w:val="nil" w:sz="4" w:space="0" w:color="auto"/>
        </w:tcBorders>
      </w:tcPr>
    </w:tblStylePr>
    <w:tblStylePr w:type="lastCol">
      <w:rPr>
        <w:i/>
        <w:color w:val="404040"/>
      </w:rPr>
      <w:tcPr>
        <w:tcBorders>
          <w:top w:val="nil" w:sz="4" w:space="0" w:color="auto"/>
          <w:left w:val="nil" w:sz="4" w:space="0" w:color="auto"/>
          <w:bottom w:val="nil" w:sz="4" w:space="0" w:color="auto"/>
          <w:right w:val="nil" w:sz="4" w:space="0" w:color="auto"/>
        </w:tcBorders>
      </w:tcPr>
    </w:tblStylePr>
    <w:tblStylePr w:type="firstRow">
      <w:rPr>
        <w:b/>
        <w:color w:val="404040"/>
      </w:rPr>
      <w:tcPr>
        <w:tcBorders>
          <w:top w:val="nil" w:sz="4" w:space="0" w:color="auto"/>
          <w:left w:val="nil" w:sz="4" w:space="0" w:color="auto"/>
          <w:bottom w:val="nil" w:sz="4" w:space="0" w:color="auto"/>
          <w:right w:val="nil" w:sz="4" w:space="0" w:color="auto"/>
        </w:tcBorders>
      </w:tcPr>
    </w:tblStylePr>
    <w:tblStylePr w:type="lastRow">
      <w:rPr>
        <w:b/>
        <w:color w:val="404040"/>
      </w:rPr>
      <w:tcPr>
        <w:tcBorders>
          <w:top w:val="nil" w:sz="4" w:space="0" w:color="auto"/>
          <w:left w:val="nil" w:sz="4" w:space="0" w:color="auto"/>
          <w:bottom w:val="nil" w:sz="4" w:space="0" w:color="auto"/>
          <w:right w:val="nil" w:sz="4" w:space="0" w:color="auto"/>
        </w:tcBorders>
      </w:tcPr>
    </w:tblStylePr>
  </w:style>
  <w:style w:type="table" w:styleId="GridTable3-Accent6" w:customStyle="1">
    <w:name w:val="Grid Table 3 - Accent 6"/>
    <w:basedOn w:val="Tabelanormal"/>
    <w:uiPriority w:val="99"/>
    <w:tblPr>
      <w:tblStyleRowBandSize w:val="1"/>
      <w:tblBorders>
        <w:bottom w:val="single" w:sz="4" w:space="0" w:color="70AD47"/>
        <w:insideH w:val="single" w:sz="4" w:space="0" w:color="70AD47"/>
        <w:insideV w:val="single" w:sz="4" w:space="0" w:color="70AD47"/>
      </w:tblBorders>
    </w:tblPr>
    <w:tblStylePr w:type="band1Vert">
      <w:rPr>
        <w:rFonts w:ascii="Arial" w:hAnsi="Arial"/>
        <w:color w:val="404040"/>
        <w:sz w:val="22"/>
      </w:rPr>
      <w:tcPr>
        <w:shd w:val="clear" w:color="auto" w:fill="E2EFD9"/>
      </w:tcPr>
    </w:tblStylePr>
    <w:tblStylePr w:type="band1Horz">
      <w:rPr>
        <w:rFonts w:ascii="Arial" w:hAnsi="Arial"/>
        <w:color w:val="404040"/>
        <w:sz w:val="22"/>
      </w:rPr>
      <w:tcPr>
        <w:shd w:val="clear" w:color="auto" w:fill="E2EFD9"/>
      </w:tcPr>
    </w:tblStylePr>
    <w:tblStylePr w:type="firstCol">
      <w:pPr>
        <w:jc w:val="right"/>
      </w:pPr>
      <w:rPr>
        <w:i/>
        <w:color w:val="404040"/>
      </w:rPr>
      <w:tcPr>
        <w:tcBorders>
          <w:top w:val="nil" w:sz="4" w:space="0" w:color="auto"/>
          <w:left w:val="nil" w:sz="4" w:space="0" w:color="auto"/>
          <w:bottom w:val="nil" w:sz="4" w:space="0" w:color="auto"/>
          <w:right w:val="nil" w:sz="4" w:space="0" w:color="auto"/>
        </w:tcBorders>
      </w:tcPr>
    </w:tblStylePr>
    <w:tblStylePr w:type="lastCol">
      <w:rPr>
        <w:i/>
        <w:color w:val="404040"/>
      </w:rPr>
      <w:tcPr>
        <w:tcBorders>
          <w:top w:val="nil" w:sz="4" w:space="0" w:color="auto"/>
          <w:left w:val="nil" w:sz="4" w:space="0" w:color="auto"/>
          <w:bottom w:val="nil" w:sz="4" w:space="0" w:color="auto"/>
          <w:right w:val="nil" w:sz="4" w:space="0" w:color="auto"/>
        </w:tcBorders>
      </w:tcPr>
    </w:tblStylePr>
    <w:tblStylePr w:type="firstRow">
      <w:rPr>
        <w:b/>
        <w:color w:val="404040"/>
      </w:rPr>
      <w:tcPr>
        <w:tcBorders>
          <w:top w:val="nil" w:sz="4" w:space="0" w:color="auto"/>
          <w:left w:val="nil" w:sz="4" w:space="0" w:color="auto"/>
          <w:bottom w:val="nil" w:sz="4" w:space="0" w:color="auto"/>
          <w:right w:val="nil" w:sz="4" w:space="0" w:color="auto"/>
        </w:tcBorders>
      </w:tcPr>
    </w:tblStylePr>
    <w:tblStylePr w:type="lastRow">
      <w:rPr>
        <w:b/>
        <w:color w:val="404040"/>
      </w:rPr>
      <w:tcPr>
        <w:tcBorders>
          <w:top w:val="nil" w:sz="4" w:space="0" w:color="auto"/>
          <w:left w:val="nil" w:sz="4" w:space="0" w:color="auto"/>
          <w:bottom w:val="nil" w:sz="4" w:space="0" w:color="auto"/>
          <w:right w:val="nil" w:sz="4" w:space="0" w:color="auto"/>
        </w:tcBorders>
      </w:tcPr>
    </w:tblStylePr>
  </w:style>
  <w:style w:type="table" w:styleId="TabeladeGrade4">
    <w:name w:val="Grid Table 4"/>
    <w:basedOn w:val="Tabelanormal"/>
    <w:uiPriority w:val="59"/>
    <w:tblPr>
      <w:tblStyleRow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band1Vert">
      <w:rPr>
        <w:rFonts w:ascii="Arial" w:hAnsi="Arial"/>
        <w:color w:val="404040"/>
        <w:sz w:val="22"/>
      </w:rPr>
      <w:tcPr>
        <w:shd w:val="clear" w:color="auto" w:fill="CBCBCB"/>
      </w:tcPr>
    </w:tblStylePr>
    <w:tblStylePr w:type="band1Horz">
      <w:rPr>
        <w:rFonts w:ascii="Arial" w:hAnsi="Arial"/>
        <w:color w:val="404040"/>
        <w:sz w:val="22"/>
      </w:rPr>
      <w:tcPr>
        <w:shd w:val="clear" w:color="auto" w:fill="CBCBCB"/>
      </w:tcPr>
    </w:tblStylePr>
    <w:tblStylePr w:type="firstCol">
      <w:rPr>
        <w:b/>
        <w:color w:val="404040"/>
      </w:rPr>
    </w:tblStylePr>
    <w:tblStylePr w:type="lastCol">
      <w:rPr>
        <w:b/>
        <w:color w:val="404040"/>
      </w:rPr>
    </w:tblStylePr>
    <w:tblStylePr w:type="firstRow">
      <w:rPr>
        <w:rFonts w:ascii="Arial" w:hAnsi="Arial"/>
        <w:b/>
        <w:color w:val="FFFFFF"/>
        <w:sz w:val="22"/>
      </w:r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cPr>
        <w:tcBorders>
          <w:top w:val="single" w:sz="4" w:space="0" w:color="000000"/>
        </w:tcBorders>
      </w:tcPr>
    </w:tblStylePr>
  </w:style>
  <w:style w:type="table" w:styleId="GridTable4-Accent1" w:customStyle="1">
    <w:name w:val="Grid Table 4 - Accent 1"/>
    <w:basedOn w:val="Tabelanormal"/>
    <w:uiPriority w:val="59"/>
    <w:tblPr>
      <w:tblStyleRowBandSize w:val="1"/>
      <w:tblBorders>
        <w:top w:val="single" w:sz="4" w:space="0" w:color="95AFDD"/>
        <w:left w:val="single" w:sz="4" w:space="0" w:color="95AFDD"/>
        <w:bottom w:val="single" w:sz="4" w:space="0" w:color="95AFDD"/>
        <w:right w:val="single" w:sz="4" w:space="0" w:color="95AFDD"/>
        <w:insideH w:val="single" w:sz="4" w:space="0" w:color="95AFDD"/>
        <w:insideV w:val="single" w:sz="4" w:space="0" w:color="95AFDD"/>
      </w:tblBorders>
    </w:tblPr>
    <w:tblStylePr w:type="band1Vert">
      <w:rPr>
        <w:rFonts w:ascii="Arial" w:hAnsi="Arial"/>
        <w:color w:val="404040"/>
        <w:sz w:val="22"/>
      </w:rPr>
      <w:tcPr>
        <w:shd w:val="clear" w:color="auto" w:fill="DAE3F3"/>
      </w:tcPr>
    </w:tblStylePr>
    <w:tblStylePr w:type="band1Horz">
      <w:rPr>
        <w:rFonts w:ascii="Arial" w:hAnsi="Arial"/>
        <w:color w:val="404040"/>
        <w:sz w:val="22"/>
      </w:rPr>
      <w:tcPr>
        <w:shd w:val="clear" w:color="auto" w:fill="DAE3F3"/>
      </w:tcPr>
    </w:tblStylePr>
    <w:tblStylePr w:type="firstCol">
      <w:rPr>
        <w:b/>
        <w:color w:val="404040"/>
      </w:rPr>
    </w:tblStylePr>
    <w:tblStylePr w:type="lastCol">
      <w:rPr>
        <w:b/>
        <w:color w:val="404040"/>
      </w:rPr>
    </w:tblStylePr>
    <w:tblStylePr w:type="firstRow">
      <w:rPr>
        <w:rFonts w:ascii="Arial" w:hAnsi="Arial"/>
        <w:b/>
        <w:color w:val="FFFFFF"/>
        <w:sz w:val="22"/>
      </w:rPr>
      <w:tcPr>
        <w:tcBorders>
          <w:top w:val="single" w:sz="4" w:space="0" w:color="537DC8"/>
          <w:left w:val="single" w:sz="4" w:space="0" w:color="537DC8"/>
          <w:bottom w:val="single" w:sz="4" w:space="0" w:color="537DC8"/>
          <w:right w:val="single" w:sz="4" w:space="0" w:color="537DC8"/>
        </w:tcBorders>
        <w:shd w:val="clear" w:color="auto" w:fill="537EC9"/>
      </w:tcPr>
    </w:tblStylePr>
    <w:tblStylePr w:type="lastRow">
      <w:rPr>
        <w:b/>
        <w:color w:val="404040"/>
      </w:rPr>
      <w:tcPr>
        <w:tcBorders>
          <w:top w:val="single" w:sz="4" w:space="0" w:color="537DC8"/>
        </w:tcBorders>
      </w:tcPr>
    </w:tblStylePr>
  </w:style>
  <w:style w:type="table" w:styleId="GridTable4-Accent2" w:customStyle="1">
    <w:name w:val="Grid Table 4 - Accent 2"/>
    <w:basedOn w:val="Tabelanormal"/>
    <w:uiPriority w:val="59"/>
    <w:tblPr>
      <w:tblStyleRowBandSize w:val="1"/>
      <w:tblBorders>
        <w:top w:val="single" w:sz="4" w:space="0" w:color="F4B58A"/>
        <w:left w:val="single" w:sz="4" w:space="0" w:color="F4B58A"/>
        <w:bottom w:val="single" w:sz="4" w:space="0" w:color="F4B58A"/>
        <w:right w:val="single" w:sz="4" w:space="0" w:color="F4B58A"/>
        <w:insideH w:val="single" w:sz="4" w:space="0" w:color="F4B58A"/>
        <w:insideV w:val="single" w:sz="4" w:space="0" w:color="F4B58A"/>
      </w:tblBorders>
    </w:tblPr>
    <w:tblStylePr w:type="band1Vert">
      <w:rPr>
        <w:rFonts w:ascii="Arial" w:hAnsi="Arial"/>
        <w:color w:val="404040"/>
        <w:sz w:val="22"/>
      </w:rPr>
      <w:tcPr>
        <w:shd w:val="clear" w:color="auto" w:fill="FBE6D7"/>
      </w:tcPr>
    </w:tblStylePr>
    <w:tblStylePr w:type="band1Horz">
      <w:rPr>
        <w:rFonts w:ascii="Arial" w:hAnsi="Arial"/>
        <w:color w:val="404040"/>
        <w:sz w:val="22"/>
      </w:rPr>
      <w:tcPr>
        <w:shd w:val="clear" w:color="auto" w:fill="FBE6D7"/>
      </w:tcPr>
    </w:tblStylePr>
    <w:tblStylePr w:type="firstCol">
      <w:rPr>
        <w:b/>
        <w:color w:val="404040"/>
      </w:rPr>
    </w:tblStylePr>
    <w:tblStylePr w:type="lastCol">
      <w:rPr>
        <w:b/>
        <w:color w:val="404040"/>
      </w:rPr>
    </w:tblStylePr>
    <w:tblStylePr w:type="firstRow">
      <w:rPr>
        <w:rFonts w:ascii="Arial" w:hAnsi="Arial"/>
        <w:b/>
        <w:color w:val="FFFFFF"/>
        <w:sz w:val="22"/>
      </w:rPr>
      <w:tcPr>
        <w:tcBorders>
          <w:top w:val="single" w:sz="4" w:space="0" w:color="F4B184"/>
          <w:left w:val="single" w:sz="4" w:space="0" w:color="F4B184"/>
          <w:bottom w:val="single" w:sz="4" w:space="0" w:color="F4B184"/>
          <w:right w:val="single" w:sz="4" w:space="0" w:color="F4B184"/>
        </w:tcBorders>
        <w:shd w:val="clear" w:color="auto" w:fill="F4B285"/>
      </w:tcPr>
    </w:tblStylePr>
    <w:tblStylePr w:type="lastRow">
      <w:rPr>
        <w:b/>
        <w:color w:val="404040"/>
      </w:rPr>
      <w:tcPr>
        <w:tcBorders>
          <w:top w:val="single" w:sz="4" w:space="0" w:color="F4B184"/>
        </w:tcBorders>
      </w:tcPr>
    </w:tblStylePr>
  </w:style>
  <w:style w:type="table" w:styleId="GridTable4-Accent3" w:customStyle="1">
    <w:name w:val="Grid Table 4 - Accent 3"/>
    <w:basedOn w:val="Tabelanormal"/>
    <w:uiPriority w:val="59"/>
    <w:tblPr>
      <w:tblStyleRowBandSize w:val="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StylePr w:type="band1Vert">
      <w:rPr>
        <w:rFonts w:ascii="Arial" w:hAnsi="Arial"/>
        <w:color w:val="404040"/>
        <w:sz w:val="22"/>
      </w:rPr>
      <w:tcPr>
        <w:shd w:val="clear" w:color="auto" w:fill="EDEDED"/>
      </w:tcPr>
    </w:tblStylePr>
    <w:tblStylePr w:type="band1Horz">
      <w:rPr>
        <w:rFonts w:ascii="Arial" w:hAnsi="Arial"/>
        <w:color w:val="404040"/>
        <w:sz w:val="22"/>
      </w:rPr>
      <w:tcPr>
        <w:shd w:val="clear" w:color="auto" w:fill="EDEDED"/>
      </w:tcPr>
    </w:tblStylePr>
    <w:tblStylePr w:type="firstCol">
      <w:rPr>
        <w:b/>
        <w:color w:val="404040"/>
      </w:rPr>
    </w:tblStylePr>
    <w:tblStylePr w:type="lastCol">
      <w:rPr>
        <w:b/>
        <w:color w:val="404040"/>
      </w:rPr>
    </w:tblStylePr>
    <w:tblStylePr w:type="firstRow">
      <w:rPr>
        <w:rFonts w:ascii="Arial" w:hAnsi="Arial"/>
        <w:b/>
        <w:color w:val="FFFFFF"/>
        <w:sz w:val="22"/>
      </w:rPr>
      <w:tcPr>
        <w:tcBorders>
          <w:top w:val="single" w:sz="4" w:space="0" w:color="A5A5A5"/>
          <w:left w:val="single" w:sz="4" w:space="0" w:color="A5A5A5"/>
          <w:bottom w:val="single" w:sz="4" w:space="0" w:color="A5A5A5"/>
          <w:right w:val="single" w:sz="4" w:space="0" w:color="A5A5A5"/>
        </w:tcBorders>
        <w:shd w:val="clear" w:color="auto" w:fill="A5A5A5"/>
      </w:tcPr>
    </w:tblStylePr>
    <w:tblStylePr w:type="lastRow">
      <w:rPr>
        <w:b/>
        <w:color w:val="404040"/>
      </w:rPr>
      <w:tcPr>
        <w:tcBorders>
          <w:top w:val="single" w:sz="4" w:space="0" w:color="A5A5A5"/>
        </w:tcBorders>
      </w:tcPr>
    </w:tblStylePr>
  </w:style>
  <w:style w:type="table" w:styleId="GridTable4-Accent4" w:customStyle="1">
    <w:name w:val="Grid Table 4 - Accent 4"/>
    <w:basedOn w:val="Tabelanormal"/>
    <w:uiPriority w:val="59"/>
    <w:tblPr>
      <w:tblStyleRowBandSize w:val="1"/>
      <w:tblBorders>
        <w:top w:val="single" w:sz="4" w:space="0" w:color="FFDB6F"/>
        <w:left w:val="single" w:sz="4" w:space="0" w:color="FFDB6F"/>
        <w:bottom w:val="single" w:sz="4" w:space="0" w:color="FFDB6F"/>
        <w:right w:val="single" w:sz="4" w:space="0" w:color="FFDB6F"/>
        <w:insideH w:val="single" w:sz="4" w:space="0" w:color="FFDB6F"/>
        <w:insideV w:val="single" w:sz="4" w:space="0" w:color="FFDB6F"/>
      </w:tblBorders>
    </w:tblPr>
    <w:tblStylePr w:type="band1Vert">
      <w:rPr>
        <w:rFonts w:ascii="Arial" w:hAnsi="Arial"/>
        <w:color w:val="404040"/>
        <w:sz w:val="22"/>
      </w:rPr>
      <w:tcPr>
        <w:shd w:val="clear" w:color="auto" w:fill="FFF2CB"/>
      </w:tcPr>
    </w:tblStylePr>
    <w:tblStylePr w:type="band1Horz">
      <w:rPr>
        <w:rFonts w:ascii="Arial" w:hAnsi="Arial"/>
        <w:color w:val="404040"/>
        <w:sz w:val="22"/>
      </w:rPr>
      <w:tcPr>
        <w:shd w:val="clear" w:color="auto" w:fill="FFF2CB"/>
      </w:tcPr>
    </w:tblStylePr>
    <w:tblStylePr w:type="firstCol">
      <w:rPr>
        <w:b/>
        <w:color w:val="404040"/>
      </w:rPr>
    </w:tblStylePr>
    <w:tblStylePr w:type="lastCol">
      <w:rPr>
        <w:b/>
        <w:color w:val="404040"/>
      </w:rPr>
    </w:tblStylePr>
    <w:tblStylePr w:type="firstRow">
      <w:rPr>
        <w:rFonts w:ascii="Arial" w:hAnsi="Arial"/>
        <w:b/>
        <w:color w:val="FFFFFF"/>
        <w:sz w:val="22"/>
      </w:rPr>
      <w:tcPr>
        <w:tcBorders>
          <w:top w:val="single" w:sz="4" w:space="0" w:color="FFD865"/>
          <w:left w:val="single" w:sz="4" w:space="0" w:color="FFD865"/>
          <w:bottom w:val="single" w:sz="4" w:space="0" w:color="FFD865"/>
          <w:right w:val="single" w:sz="4" w:space="0" w:color="FFD865"/>
        </w:tcBorders>
        <w:shd w:val="clear" w:color="auto" w:fill="FFD965"/>
      </w:tcPr>
    </w:tblStylePr>
    <w:tblStylePr w:type="lastRow">
      <w:rPr>
        <w:b/>
        <w:color w:val="404040"/>
      </w:rPr>
      <w:tcPr>
        <w:tcBorders>
          <w:top w:val="single" w:sz="4" w:space="0" w:color="FFD865"/>
        </w:tcBorders>
      </w:tcPr>
    </w:tblStylePr>
  </w:style>
  <w:style w:type="table" w:styleId="GridTable4-Accent5" w:customStyle="1">
    <w:name w:val="Grid Table 4 - Accent 5"/>
    <w:basedOn w:val="Tabelanormal"/>
    <w:uiPriority w:val="59"/>
    <w:tblPr>
      <w:tblStyleRowBandSize w:val="1"/>
      <w:tblBorders>
        <w:top w:val="single" w:sz="4" w:space="0" w:color="A2C6E7"/>
        <w:left w:val="single" w:sz="4" w:space="0" w:color="A2C6E7"/>
        <w:bottom w:val="single" w:sz="4" w:space="0" w:color="A2C6E7"/>
        <w:right w:val="single" w:sz="4" w:space="0" w:color="A2C6E7"/>
        <w:insideH w:val="single" w:sz="4" w:space="0" w:color="A2C6E7"/>
        <w:insideV w:val="single" w:sz="4" w:space="0" w:color="A2C6E7"/>
      </w:tblBorders>
    </w:tblPr>
    <w:tblStylePr w:type="band1Vert">
      <w:rPr>
        <w:rFonts w:ascii="Arial" w:hAnsi="Arial"/>
        <w:color w:val="404040"/>
        <w:sz w:val="22"/>
      </w:rPr>
      <w:tcPr>
        <w:shd w:val="clear" w:color="auto" w:fill="DEEBF6"/>
      </w:tcPr>
    </w:tblStylePr>
    <w:tblStylePr w:type="band1Horz">
      <w:rPr>
        <w:rFonts w:ascii="Arial" w:hAnsi="Arial"/>
        <w:color w:val="404040"/>
        <w:sz w:val="22"/>
      </w:rPr>
      <w:tcPr>
        <w:shd w:val="clear" w:color="auto" w:fill="DEEBF6"/>
      </w:tcPr>
    </w:tblStylePr>
    <w:tblStylePr w:type="firstCol">
      <w:rPr>
        <w:b/>
        <w:color w:val="404040"/>
      </w:rPr>
    </w:tblStylePr>
    <w:tblStylePr w:type="lastCol">
      <w:rPr>
        <w:b/>
        <w:color w:val="404040"/>
      </w:rPr>
    </w:tblStylePr>
    <w:tblStylePr w:type="firstRow">
      <w:rPr>
        <w:rFonts w:ascii="Arial" w:hAnsi="Arial"/>
        <w:b/>
        <w:color w:val="FFFFFF"/>
        <w:sz w:val="22"/>
      </w:rPr>
      <w:tcPr>
        <w:tcBorders>
          <w:top w:val="single" w:sz="4" w:space="0" w:color="5B9BD5"/>
          <w:left w:val="single" w:sz="4" w:space="0" w:color="5B9BD5"/>
          <w:bottom w:val="single" w:sz="4" w:space="0" w:color="5B9BD5"/>
          <w:right w:val="single" w:sz="4" w:space="0" w:color="5B9BD5"/>
        </w:tcBorders>
        <w:shd w:val="clear" w:color="auto" w:fill="5B9BD5"/>
      </w:tcPr>
    </w:tblStylePr>
    <w:tblStylePr w:type="lastRow">
      <w:rPr>
        <w:b/>
        <w:color w:val="404040"/>
      </w:rPr>
      <w:tcPr>
        <w:tcBorders>
          <w:top w:val="single" w:sz="4" w:space="0" w:color="5B9BD5"/>
        </w:tcBorders>
      </w:tcPr>
    </w:tblStylePr>
  </w:style>
  <w:style w:type="table" w:styleId="GridTable4-Accent6" w:customStyle="1">
    <w:name w:val="Grid Table 4 - Accent 6"/>
    <w:basedOn w:val="Tabelanormal"/>
    <w:uiPriority w:val="59"/>
    <w:tblPr>
      <w:tblStyleRowBandSize w:val="1"/>
      <w:tblBorders>
        <w:top w:val="single" w:sz="4" w:space="0" w:color="ADD394"/>
        <w:left w:val="single" w:sz="4" w:space="0" w:color="ADD394"/>
        <w:bottom w:val="single" w:sz="4" w:space="0" w:color="ADD394"/>
        <w:right w:val="single" w:sz="4" w:space="0" w:color="ADD394"/>
        <w:insideH w:val="single" w:sz="4" w:space="0" w:color="ADD394"/>
        <w:insideV w:val="single" w:sz="4" w:space="0" w:color="ADD394"/>
      </w:tblBorders>
    </w:tblPr>
    <w:tblStylePr w:type="band1Vert">
      <w:rPr>
        <w:rFonts w:ascii="Arial" w:hAnsi="Arial"/>
        <w:color w:val="404040"/>
        <w:sz w:val="22"/>
      </w:rPr>
      <w:tcPr>
        <w:shd w:val="clear" w:color="auto" w:fill="E2EFD9"/>
      </w:tcPr>
    </w:tblStylePr>
    <w:tblStylePr w:type="band1Horz">
      <w:rPr>
        <w:rFonts w:ascii="Arial" w:hAnsi="Arial"/>
        <w:color w:val="404040"/>
        <w:sz w:val="22"/>
      </w:rPr>
      <w:tcPr>
        <w:shd w:val="clear" w:color="auto" w:fill="E2EFD9"/>
      </w:tcPr>
    </w:tblStylePr>
    <w:tblStylePr w:type="firstCol">
      <w:rPr>
        <w:b/>
        <w:color w:val="404040"/>
      </w:rPr>
    </w:tblStylePr>
    <w:tblStylePr w:type="lastCol">
      <w:rPr>
        <w:b/>
        <w:color w:val="404040"/>
      </w:rPr>
    </w:tblStylePr>
    <w:tblStylePr w:type="firstRow">
      <w:rPr>
        <w:rFonts w:ascii="Arial" w:hAnsi="Arial"/>
        <w:b/>
        <w:color w:val="FFFFFF"/>
        <w:sz w:val="22"/>
      </w:rPr>
      <w:tcPr>
        <w:tcBorders>
          <w:top w:val="single" w:sz="4" w:space="0" w:color="70AD47"/>
          <w:left w:val="single" w:sz="4" w:space="0" w:color="70AD47"/>
          <w:bottom w:val="single" w:sz="4" w:space="0" w:color="70AD47"/>
          <w:right w:val="single" w:sz="4" w:space="0" w:color="70AD47"/>
        </w:tcBorders>
        <w:shd w:val="clear" w:color="auto" w:fill="70AD47"/>
      </w:tcPr>
    </w:tblStylePr>
    <w:tblStylePr w:type="lastRow">
      <w:rPr>
        <w:b/>
        <w:color w:val="404040"/>
      </w:rPr>
      <w:tcPr>
        <w:tcBorders>
          <w:top w:val="single" w:sz="4" w:space="0" w:color="70AD47"/>
        </w:tcBorders>
      </w:tcPr>
    </w:tblStylePr>
  </w:style>
  <w:style w:type="table" w:styleId="TabeladeGrade5Escura">
    <w:name w:val="Grid Table 5 Dark"/>
    <w:basedOn w:val="Tabelanormal"/>
    <w:uiPriority w:val="99"/>
    <w:tblPr>
      <w:tblStyleRow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band1Vert">
      <w:tcPr>
        <w:shd w:val="clear" w:color="auto" w:fill="8A8A8A"/>
      </w:tcPr>
    </w:tblStylePr>
    <w:tblStylePr w:type="band1Horz">
      <w:tcPr>
        <w:shd w:val="clear" w:color="auto" w:fill="8A8A8A"/>
      </w:tcPr>
    </w:tblStylePr>
    <w:tblStylePr w:type="firstCol">
      <w:rPr>
        <w:rFonts w:ascii="Arial" w:hAnsi="Arial"/>
        <w:b/>
        <w:color w:val="FFFFFF"/>
        <w:sz w:val="22"/>
      </w:rPr>
      <w:tcPr>
        <w:shd w:val="clear" w:color="auto" w:fill="000000"/>
      </w:tcPr>
    </w:tblStylePr>
    <w:tblStylePr w:type="lastCol">
      <w:rPr>
        <w:rFonts w:ascii="Arial" w:hAnsi="Arial"/>
        <w:b/>
        <w:color w:val="FFFFFF"/>
        <w:sz w:val="22"/>
      </w:rPr>
      <w:tcPr>
        <w:shd w:val="clear" w:color="auto" w:fill="000000"/>
      </w:tcPr>
    </w:tblStylePr>
    <w:tblStylePr w:type="firstRow">
      <w:rPr>
        <w:rFonts w:ascii="Arial" w:hAnsi="Arial"/>
        <w:b/>
        <w:color w:val="FFFFFF"/>
        <w:sz w:val="22"/>
      </w:rPr>
      <w:tcPr>
        <w:shd w:val="clear" w:color="auto" w:fill="000000"/>
      </w:tcPr>
    </w:tblStylePr>
    <w:tblStylePr w:type="lastRow">
      <w:rPr>
        <w:rFonts w:ascii="Arial" w:hAnsi="Arial"/>
        <w:b/>
        <w:color w:val="FFFFFF"/>
        <w:sz w:val="22"/>
      </w:rPr>
      <w:tcPr>
        <w:tcBorders>
          <w:top w:val="single" w:sz="4" w:space="0" w:color="FFFFFF"/>
        </w:tcBorders>
        <w:shd w:val="clear" w:color="auto" w:fill="000000"/>
      </w:tcPr>
    </w:tblStylePr>
  </w:style>
  <w:style w:type="table" w:styleId="GridTable5Dark-Accent1" w:customStyle="1">
    <w:name w:val="Grid Table 5 Dark- Accent 1"/>
    <w:basedOn w:val="Tabelanormal"/>
    <w:uiPriority w:val="99"/>
    <w:tblPr>
      <w:tblStyleRow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band1Vert">
      <w:tcPr>
        <w:shd w:val="clear" w:color="auto" w:fill="A9BEE4"/>
      </w:tcPr>
    </w:tblStylePr>
    <w:tblStylePr w:type="band1Horz">
      <w:tcPr>
        <w:shd w:val="clear" w:color="auto" w:fill="A9BEE4"/>
      </w:tcPr>
    </w:tblStylePr>
    <w:tblStylePr w:type="firstCol">
      <w:rPr>
        <w:rFonts w:ascii="Arial" w:hAnsi="Arial"/>
        <w:b/>
        <w:color w:val="FFFFFF"/>
        <w:sz w:val="22"/>
      </w:rPr>
      <w:tcPr>
        <w:shd w:val="clear" w:color="auto" w:fill="4472C4"/>
      </w:tcPr>
    </w:tblStylePr>
    <w:tblStylePr w:type="lastCol">
      <w:rPr>
        <w:rFonts w:ascii="Arial" w:hAnsi="Arial"/>
        <w:b/>
        <w:color w:val="FFFFFF"/>
        <w:sz w:val="22"/>
      </w:rPr>
      <w:tcPr>
        <w:shd w:val="clear" w:color="auto" w:fill="4472C4"/>
      </w:tcPr>
    </w:tblStylePr>
    <w:tblStylePr w:type="firstRow">
      <w:rPr>
        <w:rFonts w:ascii="Arial" w:hAnsi="Arial"/>
        <w:b/>
        <w:color w:val="FFFFFF"/>
        <w:sz w:val="22"/>
      </w:rPr>
      <w:tcPr>
        <w:shd w:val="clear" w:color="auto" w:fill="4472C4"/>
      </w:tcPr>
    </w:tblStylePr>
    <w:tblStylePr w:type="lastRow">
      <w:rPr>
        <w:rFonts w:ascii="Arial" w:hAnsi="Arial"/>
        <w:b/>
        <w:color w:val="FFFFFF"/>
        <w:sz w:val="22"/>
      </w:rPr>
      <w:tcPr>
        <w:tcBorders>
          <w:top w:val="single" w:sz="4" w:space="0" w:color="FFFFFF"/>
        </w:tcBorders>
        <w:shd w:val="clear" w:color="auto" w:fill="4472C4"/>
      </w:tcPr>
    </w:tblStylePr>
  </w:style>
  <w:style w:type="table" w:styleId="GridTable5Dark-Accent2" w:customStyle="1">
    <w:name w:val="Grid Table 5 Dark - Accent 2"/>
    <w:basedOn w:val="Tabelanormal"/>
    <w:uiPriority w:val="99"/>
    <w:tblPr>
      <w:tblStyleRow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band1Vert">
      <w:tcPr>
        <w:shd w:val="clear" w:color="auto" w:fill="F7C3A0"/>
      </w:tcPr>
    </w:tblStylePr>
    <w:tblStylePr w:type="band1Horz">
      <w:tcPr>
        <w:shd w:val="clear" w:color="auto" w:fill="F7C3A0"/>
      </w:tcPr>
    </w:tblStylePr>
    <w:tblStylePr w:type="firstCol">
      <w:rPr>
        <w:rFonts w:ascii="Arial" w:hAnsi="Arial"/>
        <w:b/>
        <w:color w:val="FFFFFF"/>
        <w:sz w:val="22"/>
      </w:rPr>
      <w:tcPr>
        <w:shd w:val="clear" w:color="auto" w:fill="ED7D31"/>
      </w:tcPr>
    </w:tblStylePr>
    <w:tblStylePr w:type="lastCol">
      <w:rPr>
        <w:rFonts w:ascii="Arial" w:hAnsi="Arial"/>
        <w:b/>
        <w:color w:val="FFFFFF"/>
        <w:sz w:val="22"/>
      </w:rPr>
      <w:tcPr>
        <w:shd w:val="clear" w:color="auto" w:fill="ED7D31"/>
      </w:tcPr>
    </w:tblStylePr>
    <w:tblStylePr w:type="firstRow">
      <w:rPr>
        <w:rFonts w:ascii="Arial" w:hAnsi="Arial"/>
        <w:b/>
        <w:color w:val="FFFFFF"/>
        <w:sz w:val="22"/>
      </w:rPr>
      <w:tcPr>
        <w:shd w:val="clear" w:color="auto" w:fill="ED7D31"/>
      </w:tcPr>
    </w:tblStylePr>
    <w:tblStylePr w:type="lastRow">
      <w:rPr>
        <w:rFonts w:ascii="Arial" w:hAnsi="Arial"/>
        <w:b/>
        <w:color w:val="FFFFFF"/>
        <w:sz w:val="22"/>
      </w:rPr>
      <w:tcPr>
        <w:tcBorders>
          <w:top w:val="single" w:sz="4" w:space="0" w:color="FFFFFF"/>
        </w:tcBorders>
        <w:shd w:val="clear" w:color="auto" w:fill="ED7D31"/>
      </w:tcPr>
    </w:tblStylePr>
  </w:style>
  <w:style w:type="table" w:styleId="GridTable5Dark-Accent3" w:customStyle="1">
    <w:name w:val="Grid Table 5 Dark - Accent 3"/>
    <w:basedOn w:val="Tabelanormal"/>
    <w:uiPriority w:val="99"/>
    <w:tblPr>
      <w:tblStyleRow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band1Vert">
      <w:tcPr>
        <w:shd w:val="clear" w:color="auto" w:fill="D6D6D6"/>
      </w:tcPr>
    </w:tblStylePr>
    <w:tblStylePr w:type="band1Horz">
      <w:tcPr>
        <w:shd w:val="clear" w:color="auto" w:fill="D6D6D6"/>
      </w:tcPr>
    </w:tblStylePr>
    <w:tblStylePr w:type="firstCol">
      <w:rPr>
        <w:rFonts w:ascii="Arial" w:hAnsi="Arial"/>
        <w:b/>
        <w:color w:val="FFFFFF"/>
        <w:sz w:val="22"/>
      </w:rPr>
      <w:tcPr>
        <w:shd w:val="clear" w:color="auto" w:fill="A5A5A5"/>
      </w:tcPr>
    </w:tblStylePr>
    <w:tblStylePr w:type="lastCol">
      <w:rPr>
        <w:rFonts w:ascii="Arial" w:hAnsi="Arial"/>
        <w:b/>
        <w:color w:val="FFFFFF"/>
        <w:sz w:val="22"/>
      </w:rPr>
      <w:tcPr>
        <w:shd w:val="clear" w:color="auto" w:fill="A5A5A5"/>
      </w:tcPr>
    </w:tblStylePr>
    <w:tblStylePr w:type="firstRow">
      <w:rPr>
        <w:rFonts w:ascii="Arial" w:hAnsi="Arial"/>
        <w:b/>
        <w:color w:val="FFFFFF"/>
        <w:sz w:val="22"/>
      </w:rPr>
      <w:tcPr>
        <w:shd w:val="clear" w:color="auto" w:fill="A5A5A5"/>
      </w:tcPr>
    </w:tblStylePr>
    <w:tblStylePr w:type="lastRow">
      <w:rPr>
        <w:rFonts w:ascii="Arial" w:hAnsi="Arial"/>
        <w:b/>
        <w:color w:val="FFFFFF"/>
        <w:sz w:val="22"/>
      </w:rPr>
      <w:tcPr>
        <w:tcBorders>
          <w:top w:val="single" w:sz="4" w:space="0" w:color="FFFFFF"/>
        </w:tcBorders>
        <w:shd w:val="clear" w:color="auto" w:fill="A5A5A5"/>
      </w:tcPr>
    </w:tblStylePr>
  </w:style>
  <w:style w:type="table" w:styleId="GridTable5Dark-Accent4" w:customStyle="1">
    <w:name w:val="Grid Table 5 Dark- Accent 4"/>
    <w:basedOn w:val="Tabelanormal"/>
    <w:uiPriority w:val="99"/>
    <w:tblPr>
      <w:tblStyleRow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band1Vert">
      <w:tcPr>
        <w:shd w:val="clear" w:color="auto" w:fill="FFE28A"/>
      </w:tcPr>
    </w:tblStylePr>
    <w:tblStylePr w:type="band1Horz">
      <w:tcPr>
        <w:shd w:val="clear" w:color="auto" w:fill="FFE28A"/>
      </w:tcPr>
    </w:tblStylePr>
    <w:tblStylePr w:type="firstCol">
      <w:rPr>
        <w:rFonts w:ascii="Arial" w:hAnsi="Arial"/>
        <w:b/>
        <w:color w:val="FFFFFF"/>
        <w:sz w:val="22"/>
      </w:rPr>
      <w:tcPr>
        <w:shd w:val="clear" w:color="auto" w:fill="FFC000"/>
      </w:tcPr>
    </w:tblStylePr>
    <w:tblStylePr w:type="lastCol">
      <w:rPr>
        <w:rFonts w:ascii="Arial" w:hAnsi="Arial"/>
        <w:b/>
        <w:color w:val="FFFFFF"/>
        <w:sz w:val="22"/>
      </w:rPr>
      <w:tcPr>
        <w:shd w:val="clear" w:color="auto" w:fill="FFC000"/>
      </w:tcPr>
    </w:tblStylePr>
    <w:tblStylePr w:type="firstRow">
      <w:rPr>
        <w:rFonts w:ascii="Arial" w:hAnsi="Arial"/>
        <w:b/>
        <w:color w:val="FFFFFF"/>
        <w:sz w:val="22"/>
      </w:rPr>
      <w:tcPr>
        <w:shd w:val="clear" w:color="auto" w:fill="FFC000"/>
      </w:tcPr>
    </w:tblStylePr>
    <w:tblStylePr w:type="lastRow">
      <w:rPr>
        <w:rFonts w:ascii="Arial" w:hAnsi="Arial"/>
        <w:b/>
        <w:color w:val="FFFFFF"/>
        <w:sz w:val="22"/>
      </w:rPr>
      <w:tcPr>
        <w:tcBorders>
          <w:top w:val="single" w:sz="4" w:space="0" w:color="FFFFFF"/>
        </w:tcBorders>
        <w:shd w:val="clear" w:color="auto" w:fill="FFC000"/>
      </w:tcPr>
    </w:tblStylePr>
  </w:style>
  <w:style w:type="table" w:styleId="GridTable5Dark-Accent5" w:customStyle="1">
    <w:name w:val="Grid Table 5 Dark - Accent 5"/>
    <w:basedOn w:val="Tabelanormal"/>
    <w:uiPriority w:val="99"/>
    <w:tblPr>
      <w:tblStyleRow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band1Vert">
      <w:tcPr>
        <w:shd w:val="clear" w:color="auto" w:fill="B4D1EC"/>
      </w:tcPr>
    </w:tblStylePr>
    <w:tblStylePr w:type="band1Horz">
      <w:tcPr>
        <w:shd w:val="clear" w:color="auto" w:fill="B4D1EC"/>
      </w:tcPr>
    </w:tblStylePr>
    <w:tblStylePr w:type="firstCol">
      <w:rPr>
        <w:rFonts w:ascii="Arial" w:hAnsi="Arial"/>
        <w:b/>
        <w:color w:val="FFFFFF"/>
        <w:sz w:val="22"/>
      </w:rPr>
      <w:tcPr>
        <w:shd w:val="clear" w:color="auto" w:fill="5B9BD5"/>
      </w:tcPr>
    </w:tblStylePr>
    <w:tblStylePr w:type="lastCol">
      <w:rPr>
        <w:rFonts w:ascii="Arial" w:hAnsi="Arial"/>
        <w:b/>
        <w:color w:val="FFFFFF"/>
        <w:sz w:val="22"/>
      </w:rPr>
      <w:tcPr>
        <w:shd w:val="clear" w:color="auto" w:fill="5B9BD5"/>
      </w:tcPr>
    </w:tblStylePr>
    <w:tblStylePr w:type="firstRow">
      <w:rPr>
        <w:rFonts w:ascii="Arial" w:hAnsi="Arial"/>
        <w:b/>
        <w:color w:val="FFFFFF"/>
        <w:sz w:val="22"/>
      </w:rPr>
      <w:tcPr>
        <w:shd w:val="clear" w:color="auto" w:fill="5B9BD5"/>
      </w:tcPr>
    </w:tblStylePr>
    <w:tblStylePr w:type="lastRow">
      <w:rPr>
        <w:rFonts w:ascii="Arial" w:hAnsi="Arial"/>
        <w:b/>
        <w:color w:val="FFFFFF"/>
        <w:sz w:val="22"/>
      </w:rPr>
      <w:tcPr>
        <w:tcBorders>
          <w:top w:val="single" w:sz="4" w:space="0" w:color="FFFFFF"/>
        </w:tcBorders>
        <w:shd w:val="clear" w:color="auto" w:fill="5B9BD5"/>
      </w:tcPr>
    </w:tblStylePr>
  </w:style>
  <w:style w:type="table" w:styleId="GridTable5Dark-Accent6" w:customStyle="1">
    <w:name w:val="Grid Table 5 Dark - Accent 6"/>
    <w:basedOn w:val="Tabelanormal"/>
    <w:uiPriority w:val="99"/>
    <w:tblPr>
      <w:tblStyleRow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band1Vert">
      <w:tcPr>
        <w:shd w:val="clear" w:color="auto" w:fill="BDDBA8"/>
      </w:tcPr>
    </w:tblStylePr>
    <w:tblStylePr w:type="band1Horz">
      <w:tcPr>
        <w:shd w:val="clear" w:color="auto" w:fill="BDDBA8"/>
      </w:tcPr>
    </w:tblStylePr>
    <w:tblStylePr w:type="firstCol">
      <w:rPr>
        <w:rFonts w:ascii="Arial" w:hAnsi="Arial"/>
        <w:b/>
        <w:color w:val="FFFFFF"/>
        <w:sz w:val="22"/>
      </w:rPr>
      <w:tcPr>
        <w:shd w:val="clear" w:color="auto" w:fill="70AD47"/>
      </w:tcPr>
    </w:tblStylePr>
    <w:tblStylePr w:type="lastCol">
      <w:rPr>
        <w:rFonts w:ascii="Arial" w:hAnsi="Arial"/>
        <w:b/>
        <w:color w:val="FFFFFF"/>
        <w:sz w:val="22"/>
      </w:rPr>
      <w:tcPr>
        <w:shd w:val="clear" w:color="auto" w:fill="70AD47"/>
      </w:tcPr>
    </w:tblStylePr>
    <w:tblStylePr w:type="firstRow">
      <w:rPr>
        <w:rFonts w:ascii="Arial" w:hAnsi="Arial"/>
        <w:b/>
        <w:color w:val="FFFFFF"/>
        <w:sz w:val="22"/>
      </w:rPr>
      <w:tcPr>
        <w:shd w:val="clear" w:color="auto" w:fill="70AD47"/>
      </w:tcPr>
    </w:tblStylePr>
    <w:tblStylePr w:type="lastRow">
      <w:rPr>
        <w:rFonts w:ascii="Arial" w:hAnsi="Arial"/>
        <w:b/>
        <w:color w:val="FFFFFF"/>
        <w:sz w:val="22"/>
      </w:rPr>
      <w:tcPr>
        <w:tcBorders>
          <w:top w:val="single" w:sz="4" w:space="0" w:color="FFFFFF"/>
        </w:tcBorders>
        <w:shd w:val="clear" w:color="auto" w:fill="70AD47"/>
      </w:tcPr>
    </w:tblStylePr>
  </w:style>
  <w:style w:type="table" w:styleId="TabeladeGrade6Colorida">
    <w:name w:val="Grid Table 6 Colorful"/>
    <w:basedOn w:val="Tabelanormal"/>
    <w:uiPriority w:val="99"/>
    <w:tblPr>
      <w:tblStyleRow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band1Vert">
      <w:tcPr>
        <w:shd w:val="clear" w:color="auto" w:fill="CBCBCB"/>
      </w:tcPr>
    </w:tblStylePr>
    <w:tblStylePr w:type="band1Horz">
      <w:rPr>
        <w:rFonts w:ascii="Arial" w:hAnsi="Arial"/>
        <w:color w:val="4A4A4A"/>
        <w:sz w:val="22"/>
      </w:rPr>
      <w:tcPr>
        <w:shd w:val="clear" w:color="auto" w:fill="CBCBCB"/>
      </w:tcPr>
    </w:tblStylePr>
    <w:tblStylePr w:type="band2Horz">
      <w:rPr>
        <w:rFonts w:ascii="Arial" w:hAnsi="Arial"/>
        <w:color w:val="4A4A4A"/>
        <w:sz w:val="22"/>
      </w:rPr>
    </w:tblStylePr>
    <w:tblStylePr w:type="firstCol">
      <w:rPr>
        <w:b/>
        <w:color w:val="4A4A4A"/>
      </w:rPr>
    </w:tblStylePr>
    <w:tblStylePr w:type="lastCol">
      <w:rPr>
        <w:b/>
        <w:color w:val="4A4A4A"/>
      </w:rPr>
    </w:tblStylePr>
    <w:tblStylePr w:type="firstRow">
      <w:rPr>
        <w:b/>
        <w:color w:val="4A4A4A"/>
      </w:rPr>
      <w:tcPr>
        <w:tcBorders>
          <w:bottom w:val="single" w:sz="12" w:space="0" w:color="7F7F7F"/>
        </w:tcBorders>
      </w:tcPr>
    </w:tblStylePr>
    <w:tblStylePr w:type="lastRow">
      <w:rPr>
        <w:b/>
        <w:color w:val="4A4A4A"/>
      </w:rPr>
    </w:tblStylePr>
  </w:style>
  <w:style w:type="table" w:styleId="GridTable6Colorful-Accent1" w:customStyle="1">
    <w:name w:val="Grid Table 6 Colorful - Accent 1"/>
    <w:basedOn w:val="Tabelanormal"/>
    <w:uiPriority w:val="99"/>
    <w:tblPr>
      <w:tblStyleRowBandSize w:val="1"/>
      <w:tblBorders>
        <w:top w:val="single" w:sz="4" w:space="0" w:color="A0B7E1"/>
        <w:left w:val="single" w:sz="4" w:space="0" w:color="A0B7E1"/>
        <w:bottom w:val="single" w:sz="4" w:space="0" w:color="A0B7E1"/>
        <w:right w:val="single" w:sz="4" w:space="0" w:color="A0B7E1"/>
        <w:insideH w:val="single" w:sz="4" w:space="0" w:color="A0B7E1"/>
        <w:insideV w:val="single" w:sz="4" w:space="0" w:color="A0B7E1"/>
      </w:tblBorders>
    </w:tblPr>
    <w:tblStylePr w:type="band1Vert">
      <w:tcPr>
        <w:shd w:val="clear" w:color="auto" w:fill="D9E2F3"/>
      </w:tcPr>
    </w:tblStylePr>
    <w:tblStylePr w:type="band1Horz">
      <w:rPr>
        <w:rFonts w:ascii="Arial" w:hAnsi="Arial"/>
        <w:color w:val="3760AB"/>
        <w:sz w:val="22"/>
      </w:rPr>
      <w:tcPr>
        <w:shd w:val="clear" w:color="auto" w:fill="D9E2F3"/>
      </w:tcPr>
    </w:tblStylePr>
    <w:tblStylePr w:type="band2Horz">
      <w:rPr>
        <w:rFonts w:ascii="Arial" w:hAnsi="Arial"/>
        <w:color w:val="3760AB"/>
        <w:sz w:val="22"/>
      </w:rPr>
    </w:tblStylePr>
    <w:tblStylePr w:type="firstCol">
      <w:rPr>
        <w:b/>
        <w:color w:val="3760AB"/>
      </w:rPr>
    </w:tblStylePr>
    <w:tblStylePr w:type="lastCol">
      <w:rPr>
        <w:b/>
        <w:color w:val="3760AB"/>
      </w:rPr>
    </w:tblStylePr>
    <w:tblStylePr w:type="firstRow">
      <w:rPr>
        <w:b/>
        <w:color w:val="3760AB"/>
      </w:rPr>
      <w:tcPr>
        <w:tcBorders>
          <w:bottom w:val="single" w:sz="12" w:space="0" w:color="A0B7E1"/>
        </w:tcBorders>
      </w:tcPr>
    </w:tblStylePr>
    <w:tblStylePr w:type="lastRow">
      <w:rPr>
        <w:b/>
        <w:color w:val="3760AB"/>
      </w:rPr>
    </w:tblStylePr>
  </w:style>
  <w:style w:type="table" w:styleId="GridTable6Colorful-Accent2" w:customStyle="1">
    <w:name w:val="Grid Table 6 Colorful - Accent 2"/>
    <w:basedOn w:val="Tabelanormal"/>
    <w:uiPriority w:val="99"/>
    <w:tblPr>
      <w:tblStyleRowBandSize w:val="1"/>
      <w:tblBorders>
        <w:top w:val="single" w:sz="4" w:space="0" w:color="F4B184"/>
        <w:left w:val="single" w:sz="4" w:space="0" w:color="F4B184"/>
        <w:bottom w:val="single" w:sz="4" w:space="0" w:color="F4B184"/>
        <w:right w:val="single" w:sz="4" w:space="0" w:color="F4B184"/>
        <w:insideH w:val="single" w:sz="4" w:space="0" w:color="F4B184"/>
        <w:insideV w:val="single" w:sz="4" w:space="0" w:color="F4B184"/>
      </w:tblBorders>
    </w:tblPr>
    <w:tblStylePr w:type="band1Vert">
      <w:tcPr>
        <w:shd w:val="clear" w:color="auto" w:fill="FBE6D7"/>
      </w:tcPr>
    </w:tblStylePr>
    <w:tblStylePr w:type="band1Horz">
      <w:rPr>
        <w:rFonts w:ascii="Arial" w:hAnsi="Arial"/>
        <w:color w:val="CA5D12"/>
        <w:sz w:val="22"/>
      </w:rPr>
      <w:tcPr>
        <w:shd w:val="clear" w:color="auto" w:fill="FBE6D7"/>
      </w:tcPr>
    </w:tblStylePr>
    <w:tblStylePr w:type="band2Horz">
      <w:rPr>
        <w:rFonts w:ascii="Arial" w:hAnsi="Arial"/>
        <w:color w:val="CA5D12"/>
        <w:sz w:val="22"/>
      </w:rPr>
    </w:tblStylePr>
    <w:tblStylePr w:type="firstCol">
      <w:rPr>
        <w:b/>
        <w:color w:val="CA5D12"/>
      </w:rPr>
    </w:tblStylePr>
    <w:tblStylePr w:type="lastCol">
      <w:rPr>
        <w:b/>
        <w:color w:val="CA5D12"/>
      </w:rPr>
    </w:tblStylePr>
    <w:tblStylePr w:type="firstRow">
      <w:rPr>
        <w:b/>
        <w:color w:val="CA5D12"/>
      </w:rPr>
      <w:tcPr>
        <w:tcBorders>
          <w:bottom w:val="single" w:sz="12" w:space="0" w:color="F4B184"/>
        </w:tcBorders>
      </w:tcPr>
    </w:tblStylePr>
    <w:tblStylePr w:type="lastRow">
      <w:rPr>
        <w:b/>
        <w:color w:val="CA5D12"/>
      </w:rPr>
    </w:tblStylePr>
  </w:style>
  <w:style w:type="table" w:styleId="GridTable6Colorful-Accent3" w:customStyle="1">
    <w:name w:val="Grid Table 6 Colorful - Accent 3"/>
    <w:basedOn w:val="Tabelanormal"/>
    <w:uiPriority w:val="99"/>
    <w:tblPr>
      <w:tblStyleRowBandSize w:val="1"/>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Pr>
    <w:tblStylePr w:type="band1Vert">
      <w:tcPr>
        <w:shd w:val="clear" w:color="auto" w:fill="EDEDED"/>
      </w:tcPr>
    </w:tblStylePr>
    <w:tblStylePr w:type="band1Horz">
      <w:rPr>
        <w:rFonts w:ascii="Arial" w:hAnsi="Arial"/>
        <w:color w:val="606060"/>
        <w:sz w:val="22"/>
      </w:rPr>
      <w:tcPr>
        <w:shd w:val="clear" w:color="auto" w:fill="EDEDED"/>
      </w:tcPr>
    </w:tblStylePr>
    <w:tblStylePr w:type="band2Horz">
      <w:rPr>
        <w:rFonts w:ascii="Arial" w:hAnsi="Arial"/>
        <w:color w:val="606060"/>
        <w:sz w:val="22"/>
      </w:rPr>
    </w:tblStylePr>
    <w:tblStylePr w:type="firstCol">
      <w:rPr>
        <w:b/>
        <w:color w:val="606060"/>
      </w:rPr>
    </w:tblStylePr>
    <w:tblStylePr w:type="lastCol">
      <w:rPr>
        <w:b/>
        <w:color w:val="606060"/>
      </w:rPr>
    </w:tblStylePr>
    <w:tblStylePr w:type="firstRow">
      <w:rPr>
        <w:b/>
        <w:color w:val="606060"/>
      </w:rPr>
      <w:tcPr>
        <w:tcBorders>
          <w:bottom w:val="single" w:sz="12" w:space="0" w:color="A5A5A5"/>
        </w:tcBorders>
      </w:tcPr>
    </w:tblStylePr>
    <w:tblStylePr w:type="lastRow">
      <w:rPr>
        <w:b/>
        <w:color w:val="606060"/>
      </w:rPr>
    </w:tblStylePr>
  </w:style>
  <w:style w:type="table" w:styleId="GridTable6Colorful-Accent4" w:customStyle="1">
    <w:name w:val="Grid Table 6 Colorful - Accent 4"/>
    <w:basedOn w:val="Tabelanormal"/>
    <w:uiPriority w:val="99"/>
    <w:tblPr>
      <w:tblStyleRowBandSize w:val="1"/>
      <w:tblBorders>
        <w:top w:val="single" w:sz="4" w:space="0" w:color="FFD865"/>
        <w:left w:val="single" w:sz="4" w:space="0" w:color="FFD865"/>
        <w:bottom w:val="single" w:sz="4" w:space="0" w:color="FFD865"/>
        <w:right w:val="single" w:sz="4" w:space="0" w:color="FFD865"/>
        <w:insideH w:val="single" w:sz="4" w:space="0" w:color="FFD865"/>
        <w:insideV w:val="single" w:sz="4" w:space="0" w:color="FFD865"/>
      </w:tblBorders>
    </w:tblPr>
    <w:tblStylePr w:type="band1Vert">
      <w:tcPr>
        <w:shd w:val="clear" w:color="auto" w:fill="FFF2CB"/>
      </w:tcPr>
    </w:tblStylePr>
    <w:tblStylePr w:type="band1Horz">
      <w:rPr>
        <w:rFonts w:ascii="Arial" w:hAnsi="Arial"/>
        <w:color w:val="D09D00"/>
        <w:sz w:val="22"/>
      </w:rPr>
      <w:tcPr>
        <w:shd w:val="clear" w:color="auto" w:fill="FFF2CB"/>
      </w:tcPr>
    </w:tblStylePr>
    <w:tblStylePr w:type="band2Horz">
      <w:rPr>
        <w:rFonts w:ascii="Arial" w:hAnsi="Arial"/>
        <w:color w:val="D09D00"/>
        <w:sz w:val="22"/>
      </w:rPr>
    </w:tblStylePr>
    <w:tblStylePr w:type="firstCol">
      <w:rPr>
        <w:b/>
        <w:color w:val="D09D00"/>
      </w:rPr>
    </w:tblStylePr>
    <w:tblStylePr w:type="lastCol">
      <w:rPr>
        <w:b/>
        <w:color w:val="D09D00"/>
      </w:rPr>
    </w:tblStylePr>
    <w:tblStylePr w:type="firstRow">
      <w:rPr>
        <w:b/>
        <w:color w:val="D09D00"/>
      </w:rPr>
      <w:tcPr>
        <w:tcBorders>
          <w:bottom w:val="single" w:sz="12" w:space="0" w:color="FFD865"/>
        </w:tcBorders>
      </w:tcPr>
    </w:tblStylePr>
    <w:tblStylePr w:type="lastRow">
      <w:rPr>
        <w:b/>
        <w:color w:val="D09D00"/>
      </w:rPr>
    </w:tblStylePr>
  </w:style>
  <w:style w:type="table" w:styleId="GridTable6Colorful-Accent5" w:customStyle="1">
    <w:name w:val="Grid Table 6 Colorful - Accent 5"/>
    <w:basedOn w:val="Tabelanormal"/>
    <w:uiPriority w:val="99"/>
    <w:tblPr>
      <w:tblStyleRowBandSize w:val="1"/>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
    <w:tblStylePr w:type="band1Vert">
      <w:tcPr>
        <w:shd w:val="clear" w:color="auto" w:fill="DEEBF6"/>
      </w:tcPr>
    </w:tblStylePr>
    <w:tblStylePr w:type="band1Horz">
      <w:rPr>
        <w:rFonts w:ascii="Arial" w:hAnsi="Arial"/>
        <w:color w:val="245B8D"/>
        <w:sz w:val="22"/>
      </w:rPr>
      <w:tcPr>
        <w:shd w:val="clear" w:color="auto" w:fill="DEEBF6"/>
      </w:tcPr>
    </w:tblStylePr>
    <w:tblStylePr w:type="band2Horz">
      <w:rPr>
        <w:rFonts w:ascii="Arial" w:hAnsi="Arial"/>
        <w:color w:val="245B8D"/>
        <w:sz w:val="22"/>
      </w:rPr>
    </w:tblStylePr>
    <w:tblStylePr w:type="firstCol">
      <w:rPr>
        <w:b/>
        <w:color w:val="245B8D"/>
      </w:rPr>
    </w:tblStylePr>
    <w:tblStylePr w:type="lastCol">
      <w:rPr>
        <w:b/>
        <w:color w:val="245B8D"/>
      </w:rPr>
    </w:tblStylePr>
    <w:tblStylePr w:type="firstRow">
      <w:rPr>
        <w:b/>
        <w:color w:val="245B8D"/>
      </w:rPr>
      <w:tcPr>
        <w:tcBorders>
          <w:bottom w:val="single" w:sz="12" w:space="0" w:color="5B9BD5"/>
        </w:tcBorders>
      </w:tcPr>
    </w:tblStylePr>
    <w:tblStylePr w:type="lastRow">
      <w:rPr>
        <w:b/>
        <w:color w:val="245B8D"/>
      </w:rPr>
    </w:tblStylePr>
  </w:style>
  <w:style w:type="table" w:styleId="GridTable6Colorful-Accent6" w:customStyle="1">
    <w:name w:val="Grid Table 6 Colorful - Accent 6"/>
    <w:basedOn w:val="Tabelanormal"/>
    <w:uiPriority w:val="99"/>
    <w:tblPr>
      <w:tblStyleRowBandSize w:val="1"/>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Pr>
    <w:tblStylePr w:type="band1Vert">
      <w:tcPr>
        <w:shd w:val="clear" w:color="auto" w:fill="E2EFD9"/>
      </w:tcPr>
    </w:tblStylePr>
    <w:tblStylePr w:type="band1Horz">
      <w:rPr>
        <w:rFonts w:ascii="Arial" w:hAnsi="Arial"/>
        <w:color w:val="245B8D"/>
        <w:sz w:val="22"/>
      </w:rPr>
      <w:tcPr>
        <w:shd w:val="clear" w:color="auto" w:fill="E2EFD9"/>
      </w:tcPr>
    </w:tblStylePr>
    <w:tblStylePr w:type="band2Horz">
      <w:rPr>
        <w:rFonts w:ascii="Arial" w:hAnsi="Arial"/>
        <w:color w:val="245B8D"/>
        <w:sz w:val="22"/>
      </w:rPr>
    </w:tblStylePr>
    <w:tblStylePr w:type="firstCol">
      <w:rPr>
        <w:b/>
        <w:color w:val="245B8D"/>
      </w:rPr>
    </w:tblStylePr>
    <w:tblStylePr w:type="lastCol">
      <w:rPr>
        <w:b/>
        <w:color w:val="245B8D"/>
      </w:rPr>
    </w:tblStylePr>
    <w:tblStylePr w:type="firstRow">
      <w:rPr>
        <w:b/>
        <w:color w:val="245B8D"/>
      </w:rPr>
      <w:tcPr>
        <w:tcBorders>
          <w:bottom w:val="single" w:sz="12" w:space="0" w:color="70AD47"/>
        </w:tcBorders>
      </w:tcPr>
    </w:tblStylePr>
    <w:tblStylePr w:type="lastRow">
      <w:rPr>
        <w:b/>
        <w:color w:val="245B8D"/>
      </w:rPr>
    </w:tblStylePr>
  </w:style>
  <w:style w:type="table" w:styleId="TabeladeGrade7Colorida">
    <w:name w:val="Grid Table 7 Colorful"/>
    <w:basedOn w:val="Tabelanormal"/>
    <w:uiPriority w:val="99"/>
    <w:tblPr>
      <w:tblStyleRowBandSize w:val="1"/>
      <w:tblBorders>
        <w:bottom w:val="single" w:sz="4" w:space="0" w:color="7F7F7F"/>
        <w:right w:val="single" w:sz="4" w:space="0" w:color="7F7F7F"/>
        <w:insideH w:val="single" w:sz="4" w:space="0" w:color="7F7F7F"/>
        <w:insideV w:val="single" w:sz="4" w:space="0" w:color="7F7F7F"/>
      </w:tblBorders>
    </w:tblPr>
    <w:tblStylePr w:type="band1Vert">
      <w:tcPr>
        <w:shd w:val="clear" w:color="auto" w:fill="F2F2F2"/>
      </w:tcPr>
    </w:tblStylePr>
    <w:tblStylePr w:type="band1Horz">
      <w:rPr>
        <w:rFonts w:ascii="Arial" w:hAnsi="Arial"/>
        <w:color w:val="4A4A4A"/>
        <w:sz w:val="22"/>
      </w:rPr>
      <w:tcPr>
        <w:shd w:val="clear" w:color="auto" w:fill="F2F2F2"/>
      </w:tcPr>
    </w:tblStylePr>
    <w:tblStylePr w:type="band2Horz">
      <w:rPr>
        <w:rFonts w:ascii="Arial" w:hAnsi="Arial"/>
        <w:color w:val="4A4A4A"/>
        <w:sz w:val="22"/>
      </w:rPr>
    </w:tblStylePr>
    <w:tblStylePr w:type="firstCol">
      <w:pPr>
        <w:jc w:val="right"/>
      </w:pPr>
      <w:rPr>
        <w:rFonts w:ascii="Arial" w:hAnsi="Arial"/>
        <w:i/>
        <w:color w:val="4A4A4A"/>
        <w:sz w:val="22"/>
      </w:rPr>
      <w:tcPr>
        <w:tcBorders>
          <w:top w:val="nil" w:sz="4" w:space="0" w:color="auto"/>
          <w:left w:val="nil" w:sz="4" w:space="0" w:color="auto"/>
          <w:bottom w:val="nil" w:sz="4" w:space="0" w:color="auto"/>
          <w:right w:val="single" w:sz="4" w:space="0" w:color="7F7F7F"/>
        </w:tcBorders>
      </w:tcPr>
    </w:tblStylePr>
    <w:tblStylePr w:type="lastCol">
      <w:rPr>
        <w:rFonts w:ascii="Arial" w:hAnsi="Arial"/>
        <w:i/>
        <w:color w:val="4A4A4A"/>
        <w:sz w:val="22"/>
      </w:rPr>
      <w:tcPr>
        <w:tcBorders>
          <w:top w:val="nil" w:sz="4" w:space="0" w:color="auto"/>
          <w:left w:val="single" w:sz="4" w:space="0" w:color="7F7F7F"/>
          <w:bottom w:val="nil" w:sz="4" w:space="0" w:color="auto"/>
          <w:right w:val="nil" w:sz="4" w:space="0" w:color="auto"/>
        </w:tcBorders>
      </w:tcPr>
    </w:tblStylePr>
    <w:tblStylePr w:type="firstRow">
      <w:rPr>
        <w:rFonts w:ascii="Arial" w:hAnsi="Arial"/>
        <w:b/>
        <w:color w:val="4A4A4A"/>
        <w:sz w:val="22"/>
      </w:rPr>
      <w:tcPr>
        <w:tcBorders>
          <w:top w:val="nil" w:sz="4" w:space="0" w:color="auto"/>
          <w:left w:val="nil" w:sz="4" w:space="0" w:color="auto"/>
          <w:bottom w:val="single" w:sz="4" w:space="0" w:color="7F7F7F"/>
          <w:right w:val="nil" w:sz="4" w:space="0" w:color="auto"/>
        </w:tcBorders>
        <w:shd w:val="clear" w:color="auto" w:fill="FFFFFF"/>
      </w:tcPr>
    </w:tblStylePr>
    <w:tblStylePr w:type="lastRow">
      <w:rPr>
        <w:rFonts w:ascii="Arial" w:hAnsi="Arial"/>
        <w:b/>
        <w:color w:val="4A4A4A"/>
        <w:sz w:val="22"/>
      </w:rPr>
      <w:tcPr>
        <w:tcBorders>
          <w:top w:val="single" w:sz="4" w:space="0" w:color="7F7F7F"/>
          <w:left w:val="nil" w:sz="4" w:space="0" w:color="auto"/>
          <w:bottom w:val="nil" w:sz="4" w:space="0" w:color="auto"/>
          <w:right w:val="nil" w:sz="4" w:space="0" w:color="auto"/>
        </w:tcBorders>
        <w:shd w:val="clear" w:color="auto" w:fill="FFFFFF"/>
      </w:tcPr>
    </w:tblStylePr>
  </w:style>
  <w:style w:type="table" w:styleId="GridTable7Colorful-Accent1" w:customStyle="1">
    <w:name w:val="Grid Table 7 Colorful - Accent 1"/>
    <w:basedOn w:val="Tabelanormal"/>
    <w:uiPriority w:val="99"/>
    <w:tblPr>
      <w:tblStyleRowBandSize w:val="1"/>
      <w:tblBorders>
        <w:bottom w:val="single" w:sz="4" w:space="0" w:color="A0B7E1"/>
        <w:right w:val="single" w:sz="4" w:space="0" w:color="A0B7E1"/>
        <w:insideH w:val="single" w:sz="4" w:space="0" w:color="A0B7E1"/>
        <w:insideV w:val="single" w:sz="4" w:space="0" w:color="A0B7E1"/>
      </w:tblBorders>
    </w:tblPr>
    <w:tblStylePr w:type="band1Vert">
      <w:tcPr>
        <w:shd w:val="clear" w:color="auto" w:fill="D9E2F3"/>
      </w:tcPr>
    </w:tblStylePr>
    <w:tblStylePr w:type="band1Horz">
      <w:rPr>
        <w:rFonts w:ascii="Arial" w:hAnsi="Arial"/>
        <w:color w:val="3760AB"/>
        <w:sz w:val="22"/>
      </w:rPr>
      <w:tcPr>
        <w:shd w:val="clear" w:color="auto" w:fill="D9E2F3"/>
      </w:tcPr>
    </w:tblStylePr>
    <w:tblStylePr w:type="band2Horz">
      <w:rPr>
        <w:rFonts w:ascii="Arial" w:hAnsi="Arial"/>
        <w:color w:val="3760AB"/>
        <w:sz w:val="22"/>
      </w:rPr>
    </w:tblStylePr>
    <w:tblStylePr w:type="firstCol">
      <w:pPr>
        <w:jc w:val="right"/>
      </w:pPr>
      <w:rPr>
        <w:rFonts w:ascii="Arial" w:hAnsi="Arial"/>
        <w:i/>
        <w:color w:val="3760AB"/>
        <w:sz w:val="22"/>
      </w:rPr>
      <w:tcPr>
        <w:tcBorders>
          <w:top w:val="nil" w:sz="4" w:space="0" w:color="auto"/>
          <w:left w:val="nil" w:sz="4" w:space="0" w:color="auto"/>
          <w:bottom w:val="nil" w:sz="4" w:space="0" w:color="auto"/>
          <w:right w:val="single" w:sz="4" w:space="0" w:color="A0B7E1"/>
        </w:tcBorders>
      </w:tcPr>
    </w:tblStylePr>
    <w:tblStylePr w:type="lastCol">
      <w:rPr>
        <w:rFonts w:ascii="Arial" w:hAnsi="Arial"/>
        <w:i/>
        <w:color w:val="3760AB"/>
        <w:sz w:val="22"/>
      </w:rPr>
      <w:tcPr>
        <w:tcBorders>
          <w:top w:val="nil" w:sz="4" w:space="0" w:color="auto"/>
          <w:left w:val="single" w:sz="4" w:space="0" w:color="A0B7E1"/>
          <w:bottom w:val="nil" w:sz="4" w:space="0" w:color="auto"/>
          <w:right w:val="nil" w:sz="4" w:space="0" w:color="auto"/>
        </w:tcBorders>
      </w:tcPr>
    </w:tblStylePr>
    <w:tblStylePr w:type="firstRow">
      <w:rPr>
        <w:rFonts w:ascii="Arial" w:hAnsi="Arial"/>
        <w:b/>
        <w:color w:val="3760AB"/>
        <w:sz w:val="22"/>
      </w:rPr>
      <w:tcPr>
        <w:tcBorders>
          <w:top w:val="nil" w:sz="4" w:space="0" w:color="auto"/>
          <w:left w:val="nil" w:sz="4" w:space="0" w:color="auto"/>
          <w:bottom w:val="single" w:sz="4" w:space="0" w:color="A0B7E1"/>
          <w:right w:val="nil" w:sz="4" w:space="0" w:color="auto"/>
        </w:tcBorders>
        <w:shd w:val="clear" w:color="auto" w:fill="FFFFFF"/>
      </w:tcPr>
    </w:tblStylePr>
    <w:tblStylePr w:type="lastRow">
      <w:rPr>
        <w:rFonts w:ascii="Arial" w:hAnsi="Arial"/>
        <w:b/>
        <w:color w:val="3760AB"/>
        <w:sz w:val="22"/>
      </w:rPr>
      <w:tcPr>
        <w:tcBorders>
          <w:top w:val="single" w:sz="4" w:space="0" w:color="A0B7E1"/>
          <w:left w:val="nil" w:sz="4" w:space="0" w:color="auto"/>
          <w:bottom w:val="nil" w:sz="4" w:space="0" w:color="auto"/>
          <w:right w:val="nil" w:sz="4" w:space="0" w:color="auto"/>
        </w:tcBorders>
        <w:shd w:val="clear" w:color="auto" w:fill="FFFFFF"/>
      </w:tcPr>
    </w:tblStylePr>
  </w:style>
  <w:style w:type="table" w:styleId="GridTable7Colorful-Accent2" w:customStyle="1">
    <w:name w:val="Grid Table 7 Colorful - Accent 2"/>
    <w:basedOn w:val="Tabelanormal"/>
    <w:uiPriority w:val="99"/>
    <w:tblPr>
      <w:tblStyleRowBandSize w:val="1"/>
      <w:tblBorders>
        <w:bottom w:val="single" w:sz="4" w:space="0" w:color="F4B184"/>
        <w:right w:val="single" w:sz="4" w:space="0" w:color="F4B184"/>
        <w:insideH w:val="single" w:sz="4" w:space="0" w:color="F4B184"/>
        <w:insideV w:val="single" w:sz="4" w:space="0" w:color="F4B184"/>
      </w:tblBorders>
    </w:tblPr>
    <w:tblStylePr w:type="band1Vert">
      <w:tcPr>
        <w:shd w:val="clear" w:color="auto" w:fill="FBE6D7"/>
      </w:tcPr>
    </w:tblStylePr>
    <w:tblStylePr w:type="band1Horz">
      <w:rPr>
        <w:rFonts w:ascii="Arial" w:hAnsi="Arial"/>
        <w:color w:val="CA5D12"/>
        <w:sz w:val="22"/>
      </w:rPr>
      <w:tcPr>
        <w:shd w:val="clear" w:color="auto" w:fill="FBE6D7"/>
      </w:tcPr>
    </w:tblStylePr>
    <w:tblStylePr w:type="band2Horz">
      <w:rPr>
        <w:rFonts w:ascii="Arial" w:hAnsi="Arial"/>
        <w:color w:val="CA5D12"/>
        <w:sz w:val="22"/>
      </w:rPr>
    </w:tblStylePr>
    <w:tblStylePr w:type="firstCol">
      <w:pPr>
        <w:jc w:val="right"/>
      </w:pPr>
      <w:rPr>
        <w:rFonts w:ascii="Arial" w:hAnsi="Arial"/>
        <w:i/>
        <w:color w:val="CA5D12"/>
        <w:sz w:val="22"/>
      </w:rPr>
      <w:tcPr>
        <w:tcBorders>
          <w:top w:val="nil" w:sz="4" w:space="0" w:color="auto"/>
          <w:left w:val="nil" w:sz="4" w:space="0" w:color="auto"/>
          <w:bottom w:val="nil" w:sz="4" w:space="0" w:color="auto"/>
          <w:right w:val="single" w:sz="4" w:space="0" w:color="F4B184"/>
        </w:tcBorders>
      </w:tcPr>
    </w:tblStylePr>
    <w:tblStylePr w:type="lastCol">
      <w:rPr>
        <w:rFonts w:ascii="Arial" w:hAnsi="Arial"/>
        <w:i/>
        <w:color w:val="CA5D12"/>
        <w:sz w:val="22"/>
      </w:rPr>
      <w:tcPr>
        <w:tcBorders>
          <w:top w:val="nil" w:sz="4" w:space="0" w:color="auto"/>
          <w:left w:val="single" w:sz="4" w:space="0" w:color="F4B184"/>
          <w:bottom w:val="nil" w:sz="4" w:space="0" w:color="auto"/>
          <w:right w:val="nil" w:sz="4" w:space="0" w:color="auto"/>
        </w:tcBorders>
      </w:tcPr>
    </w:tblStylePr>
    <w:tblStylePr w:type="firstRow">
      <w:rPr>
        <w:rFonts w:ascii="Arial" w:hAnsi="Arial"/>
        <w:b/>
        <w:color w:val="CA5D12"/>
        <w:sz w:val="22"/>
      </w:rPr>
      <w:tcPr>
        <w:tcBorders>
          <w:top w:val="nil" w:sz="4" w:space="0" w:color="auto"/>
          <w:left w:val="nil" w:sz="4" w:space="0" w:color="auto"/>
          <w:bottom w:val="single" w:sz="4" w:space="0" w:color="F4B184"/>
          <w:right w:val="nil" w:sz="4" w:space="0" w:color="auto"/>
        </w:tcBorders>
        <w:shd w:val="clear" w:color="auto" w:fill="FFFFFF"/>
      </w:tcPr>
    </w:tblStylePr>
    <w:tblStylePr w:type="lastRow">
      <w:rPr>
        <w:rFonts w:ascii="Arial" w:hAnsi="Arial"/>
        <w:b/>
        <w:color w:val="CA5D12"/>
        <w:sz w:val="22"/>
      </w:rPr>
      <w:tcPr>
        <w:tcBorders>
          <w:top w:val="single" w:sz="4" w:space="0" w:color="F4B184"/>
          <w:left w:val="nil" w:sz="4" w:space="0" w:color="auto"/>
          <w:bottom w:val="nil" w:sz="4" w:space="0" w:color="auto"/>
          <w:right w:val="nil" w:sz="4" w:space="0" w:color="auto"/>
        </w:tcBorders>
        <w:shd w:val="clear" w:color="auto" w:fill="FFFFFF"/>
      </w:tcPr>
    </w:tblStylePr>
  </w:style>
  <w:style w:type="table" w:styleId="GridTable7Colorful-Accent3" w:customStyle="1">
    <w:name w:val="Grid Table 7 Colorful - Accent 3"/>
    <w:basedOn w:val="Tabelanormal"/>
    <w:uiPriority w:val="99"/>
    <w:tblPr>
      <w:tblStyleRowBandSize w:val="1"/>
      <w:tblBorders>
        <w:bottom w:val="single" w:sz="4" w:space="0" w:color="A5A5A5"/>
        <w:right w:val="single" w:sz="4" w:space="0" w:color="A5A5A5"/>
        <w:insideH w:val="single" w:sz="4" w:space="0" w:color="A5A5A5"/>
        <w:insideV w:val="single" w:sz="4" w:space="0" w:color="A5A5A5"/>
      </w:tblBorders>
    </w:tblPr>
    <w:tblStylePr w:type="band1Vert">
      <w:tcPr>
        <w:shd w:val="clear" w:color="auto" w:fill="EDEDED"/>
      </w:tcPr>
    </w:tblStylePr>
    <w:tblStylePr w:type="band1Horz">
      <w:rPr>
        <w:rFonts w:ascii="Arial" w:hAnsi="Arial"/>
        <w:color w:val="606060"/>
        <w:sz w:val="22"/>
      </w:rPr>
      <w:tcPr>
        <w:shd w:val="clear" w:color="auto" w:fill="EDEDED"/>
      </w:tcPr>
    </w:tblStylePr>
    <w:tblStylePr w:type="band2Horz">
      <w:rPr>
        <w:rFonts w:ascii="Arial" w:hAnsi="Arial"/>
        <w:color w:val="606060"/>
        <w:sz w:val="22"/>
      </w:rPr>
    </w:tblStylePr>
    <w:tblStylePr w:type="firstCol">
      <w:pPr>
        <w:jc w:val="right"/>
      </w:pPr>
      <w:rPr>
        <w:rFonts w:ascii="Arial" w:hAnsi="Arial"/>
        <w:i/>
        <w:color w:val="606060"/>
        <w:sz w:val="22"/>
      </w:rPr>
      <w:tcPr>
        <w:tcBorders>
          <w:top w:val="nil" w:sz="4" w:space="0" w:color="auto"/>
          <w:left w:val="nil" w:sz="4" w:space="0" w:color="auto"/>
          <w:bottom w:val="nil" w:sz="4" w:space="0" w:color="auto"/>
          <w:right w:val="single" w:sz="4" w:space="0" w:color="A5A5A5"/>
        </w:tcBorders>
      </w:tcPr>
    </w:tblStylePr>
    <w:tblStylePr w:type="lastCol">
      <w:rPr>
        <w:rFonts w:ascii="Arial" w:hAnsi="Arial"/>
        <w:i/>
        <w:color w:val="606060"/>
        <w:sz w:val="22"/>
      </w:rPr>
      <w:tcPr>
        <w:tcBorders>
          <w:top w:val="nil" w:sz="4" w:space="0" w:color="auto"/>
          <w:left w:val="single" w:sz="4" w:space="0" w:color="A5A5A5"/>
          <w:bottom w:val="nil" w:sz="4" w:space="0" w:color="auto"/>
          <w:right w:val="nil" w:sz="4" w:space="0" w:color="auto"/>
        </w:tcBorders>
      </w:tcPr>
    </w:tblStylePr>
    <w:tblStylePr w:type="firstRow">
      <w:rPr>
        <w:rFonts w:ascii="Arial" w:hAnsi="Arial"/>
        <w:b/>
        <w:color w:val="606060"/>
        <w:sz w:val="22"/>
      </w:rPr>
      <w:tcPr>
        <w:tcBorders>
          <w:top w:val="nil" w:sz="4" w:space="0" w:color="auto"/>
          <w:left w:val="nil" w:sz="4" w:space="0" w:color="auto"/>
          <w:bottom w:val="single" w:sz="4" w:space="0" w:color="A5A5A5"/>
          <w:right w:val="nil" w:sz="4" w:space="0" w:color="auto"/>
        </w:tcBorders>
        <w:shd w:val="clear" w:color="auto" w:fill="FFFFFF"/>
      </w:tcPr>
    </w:tblStylePr>
    <w:tblStylePr w:type="lastRow">
      <w:rPr>
        <w:rFonts w:ascii="Arial" w:hAnsi="Arial"/>
        <w:b/>
        <w:color w:val="606060"/>
        <w:sz w:val="22"/>
      </w:rPr>
      <w:tcPr>
        <w:tcBorders>
          <w:top w:val="single" w:sz="4" w:space="0" w:color="A5A5A5"/>
          <w:left w:val="nil" w:sz="4" w:space="0" w:color="auto"/>
          <w:bottom w:val="nil" w:sz="4" w:space="0" w:color="auto"/>
          <w:right w:val="nil" w:sz="4" w:space="0" w:color="auto"/>
        </w:tcBorders>
        <w:shd w:val="clear" w:color="auto" w:fill="FFFFFF"/>
      </w:tcPr>
    </w:tblStylePr>
  </w:style>
  <w:style w:type="table" w:styleId="GridTable7Colorful-Accent4" w:customStyle="1">
    <w:name w:val="Grid Table 7 Colorful - Accent 4"/>
    <w:basedOn w:val="Tabelanormal"/>
    <w:uiPriority w:val="99"/>
    <w:tblPr>
      <w:tblStyleRowBandSize w:val="1"/>
      <w:tblBorders>
        <w:bottom w:val="single" w:sz="4" w:space="0" w:color="FFD865"/>
        <w:right w:val="single" w:sz="4" w:space="0" w:color="FFD865"/>
        <w:insideH w:val="single" w:sz="4" w:space="0" w:color="FFD865"/>
        <w:insideV w:val="single" w:sz="4" w:space="0" w:color="FFD865"/>
      </w:tblBorders>
    </w:tblPr>
    <w:tblStylePr w:type="band1Vert">
      <w:tcPr>
        <w:shd w:val="clear" w:color="auto" w:fill="FFF2CB"/>
      </w:tcPr>
    </w:tblStylePr>
    <w:tblStylePr w:type="band1Horz">
      <w:rPr>
        <w:rFonts w:ascii="Arial" w:hAnsi="Arial"/>
        <w:color w:val="D09D00"/>
        <w:sz w:val="22"/>
      </w:rPr>
      <w:tcPr>
        <w:shd w:val="clear" w:color="auto" w:fill="FFF2CB"/>
      </w:tcPr>
    </w:tblStylePr>
    <w:tblStylePr w:type="band2Horz">
      <w:rPr>
        <w:rFonts w:ascii="Arial" w:hAnsi="Arial"/>
        <w:color w:val="D09D00"/>
        <w:sz w:val="22"/>
      </w:rPr>
    </w:tblStylePr>
    <w:tblStylePr w:type="firstCol">
      <w:pPr>
        <w:jc w:val="right"/>
      </w:pPr>
      <w:rPr>
        <w:rFonts w:ascii="Arial" w:hAnsi="Arial"/>
        <w:i/>
        <w:color w:val="D09D00"/>
        <w:sz w:val="22"/>
      </w:rPr>
      <w:tcPr>
        <w:tcBorders>
          <w:top w:val="nil" w:sz="4" w:space="0" w:color="auto"/>
          <w:left w:val="nil" w:sz="4" w:space="0" w:color="auto"/>
          <w:bottom w:val="nil" w:sz="4" w:space="0" w:color="auto"/>
          <w:right w:val="single" w:sz="4" w:space="0" w:color="FFD865"/>
        </w:tcBorders>
      </w:tcPr>
    </w:tblStylePr>
    <w:tblStylePr w:type="lastCol">
      <w:rPr>
        <w:rFonts w:ascii="Arial" w:hAnsi="Arial"/>
        <w:i/>
        <w:color w:val="D09D00"/>
        <w:sz w:val="22"/>
      </w:rPr>
      <w:tcPr>
        <w:tcBorders>
          <w:top w:val="nil" w:sz="4" w:space="0" w:color="auto"/>
          <w:left w:val="single" w:sz="4" w:space="0" w:color="FFD865"/>
          <w:bottom w:val="nil" w:sz="4" w:space="0" w:color="auto"/>
          <w:right w:val="nil" w:sz="4" w:space="0" w:color="auto"/>
        </w:tcBorders>
      </w:tcPr>
    </w:tblStylePr>
    <w:tblStylePr w:type="firstRow">
      <w:rPr>
        <w:rFonts w:ascii="Arial" w:hAnsi="Arial"/>
        <w:b/>
        <w:color w:val="D09D00"/>
        <w:sz w:val="22"/>
      </w:rPr>
      <w:tcPr>
        <w:tcBorders>
          <w:top w:val="nil" w:sz="4" w:space="0" w:color="auto"/>
          <w:left w:val="nil" w:sz="4" w:space="0" w:color="auto"/>
          <w:bottom w:val="single" w:sz="4" w:space="0" w:color="FFD865"/>
          <w:right w:val="nil" w:sz="4" w:space="0" w:color="auto"/>
        </w:tcBorders>
        <w:shd w:val="clear" w:color="auto" w:fill="FFFFFF"/>
      </w:tcPr>
    </w:tblStylePr>
    <w:tblStylePr w:type="lastRow">
      <w:rPr>
        <w:rFonts w:ascii="Arial" w:hAnsi="Arial"/>
        <w:b/>
        <w:color w:val="D09D00"/>
        <w:sz w:val="22"/>
      </w:rPr>
      <w:tcPr>
        <w:tcBorders>
          <w:top w:val="single" w:sz="4" w:space="0" w:color="FFD865"/>
          <w:left w:val="nil" w:sz="4" w:space="0" w:color="auto"/>
          <w:bottom w:val="nil" w:sz="4" w:space="0" w:color="auto"/>
          <w:right w:val="nil" w:sz="4" w:space="0" w:color="auto"/>
        </w:tcBorders>
        <w:shd w:val="clear" w:color="auto" w:fill="FFFFFF"/>
      </w:tcPr>
    </w:tblStylePr>
  </w:style>
  <w:style w:type="table" w:styleId="GridTable7Colorful-Accent5" w:customStyle="1">
    <w:name w:val="Grid Table 7 Colorful - Accent 5"/>
    <w:basedOn w:val="Tabelanormal"/>
    <w:uiPriority w:val="99"/>
    <w:tblPr>
      <w:tblStyleRowBandSize w:val="1"/>
      <w:tblBorders>
        <w:bottom w:val="single" w:sz="4" w:space="0" w:color="A2C6E7"/>
        <w:right w:val="single" w:sz="4" w:space="0" w:color="A2C6E7"/>
        <w:insideH w:val="single" w:sz="4" w:space="0" w:color="A2C6E7"/>
        <w:insideV w:val="single" w:sz="4" w:space="0" w:color="A2C6E7"/>
      </w:tblBorders>
    </w:tblPr>
    <w:tblStylePr w:type="band1Vert">
      <w:tcPr>
        <w:shd w:val="clear" w:color="auto" w:fill="DEEBF6"/>
      </w:tcPr>
    </w:tblStylePr>
    <w:tblStylePr w:type="band1Horz">
      <w:rPr>
        <w:rFonts w:ascii="Arial" w:hAnsi="Arial"/>
        <w:color w:val="245B8D"/>
        <w:sz w:val="22"/>
      </w:rPr>
      <w:tcPr>
        <w:shd w:val="clear" w:color="auto" w:fill="DEEBF6"/>
      </w:tcPr>
    </w:tblStylePr>
    <w:tblStylePr w:type="band2Horz">
      <w:rPr>
        <w:rFonts w:ascii="Arial" w:hAnsi="Arial"/>
        <w:color w:val="245B8D"/>
        <w:sz w:val="22"/>
      </w:rPr>
    </w:tblStylePr>
    <w:tblStylePr w:type="firstCol">
      <w:pPr>
        <w:jc w:val="right"/>
      </w:pPr>
      <w:rPr>
        <w:rFonts w:ascii="Arial" w:hAnsi="Arial"/>
        <w:i/>
        <w:color w:val="245B8D"/>
        <w:sz w:val="22"/>
      </w:rPr>
      <w:tcPr>
        <w:tcBorders>
          <w:top w:val="nil" w:sz="4" w:space="0" w:color="auto"/>
          <w:left w:val="nil" w:sz="4" w:space="0" w:color="auto"/>
          <w:bottom w:val="nil" w:sz="4" w:space="0" w:color="auto"/>
          <w:right w:val="single" w:sz="4" w:space="0" w:color="A2C6E7"/>
        </w:tcBorders>
      </w:tcPr>
    </w:tblStylePr>
    <w:tblStylePr w:type="lastCol">
      <w:rPr>
        <w:rFonts w:ascii="Arial" w:hAnsi="Arial"/>
        <w:i/>
        <w:color w:val="245B8D"/>
        <w:sz w:val="22"/>
      </w:rPr>
      <w:tcPr>
        <w:tcBorders>
          <w:top w:val="nil" w:sz="4" w:space="0" w:color="auto"/>
          <w:left w:val="single" w:sz="4" w:space="0" w:color="A2C6E7"/>
          <w:bottom w:val="nil" w:sz="4" w:space="0" w:color="auto"/>
          <w:right w:val="nil" w:sz="4" w:space="0" w:color="auto"/>
        </w:tcBorders>
      </w:tcPr>
    </w:tblStylePr>
    <w:tblStylePr w:type="firstRow">
      <w:rPr>
        <w:rFonts w:ascii="Arial" w:hAnsi="Arial"/>
        <w:b/>
        <w:color w:val="245B8D"/>
        <w:sz w:val="22"/>
      </w:rPr>
      <w:tcPr>
        <w:tcBorders>
          <w:top w:val="nil" w:sz="4" w:space="0" w:color="auto"/>
          <w:left w:val="nil" w:sz="4" w:space="0" w:color="auto"/>
          <w:bottom w:val="single" w:sz="4" w:space="0" w:color="A2C6E7"/>
          <w:right w:val="nil" w:sz="4" w:space="0" w:color="auto"/>
        </w:tcBorders>
        <w:shd w:val="clear" w:color="auto" w:fill="FFFFFF"/>
      </w:tcPr>
    </w:tblStylePr>
    <w:tblStylePr w:type="lastRow">
      <w:rPr>
        <w:rFonts w:ascii="Arial" w:hAnsi="Arial"/>
        <w:b/>
        <w:color w:val="245B8D"/>
        <w:sz w:val="22"/>
      </w:rPr>
      <w:tcPr>
        <w:tcBorders>
          <w:top w:val="single" w:sz="4" w:space="0" w:color="A2C6E7"/>
          <w:left w:val="nil" w:sz="4" w:space="0" w:color="auto"/>
          <w:bottom w:val="nil" w:sz="4" w:space="0" w:color="auto"/>
          <w:right w:val="nil" w:sz="4" w:space="0" w:color="auto"/>
        </w:tcBorders>
        <w:shd w:val="clear" w:color="auto" w:fill="FFFFFF"/>
      </w:tcPr>
    </w:tblStylePr>
  </w:style>
  <w:style w:type="table" w:styleId="GridTable7Colorful-Accent6" w:customStyle="1">
    <w:name w:val="Grid Table 7 Colorful - Accent 6"/>
    <w:basedOn w:val="Tabelanormal"/>
    <w:uiPriority w:val="99"/>
    <w:tblPr>
      <w:tblStyleRowBandSize w:val="1"/>
      <w:tblBorders>
        <w:bottom w:val="single" w:sz="4" w:space="0" w:color="ADD394"/>
        <w:right w:val="single" w:sz="4" w:space="0" w:color="ADD394"/>
        <w:insideH w:val="single" w:sz="4" w:space="0" w:color="ADD394"/>
        <w:insideV w:val="single" w:sz="4" w:space="0" w:color="ADD394"/>
      </w:tblBorders>
    </w:tblPr>
    <w:tblStylePr w:type="band1Vert">
      <w:tcPr>
        <w:shd w:val="clear" w:color="auto" w:fill="E2EFD9"/>
      </w:tcPr>
    </w:tblStylePr>
    <w:tblStylePr w:type="band1Horz">
      <w:rPr>
        <w:rFonts w:ascii="Arial" w:hAnsi="Arial"/>
        <w:color w:val="416529"/>
        <w:sz w:val="22"/>
      </w:rPr>
      <w:tcPr>
        <w:shd w:val="clear" w:color="auto" w:fill="E2EFD9"/>
      </w:tcPr>
    </w:tblStylePr>
    <w:tblStylePr w:type="band2Horz">
      <w:rPr>
        <w:rFonts w:ascii="Arial" w:hAnsi="Arial"/>
        <w:color w:val="416529"/>
        <w:sz w:val="22"/>
      </w:rPr>
    </w:tblStylePr>
    <w:tblStylePr w:type="firstCol">
      <w:pPr>
        <w:jc w:val="right"/>
      </w:pPr>
      <w:rPr>
        <w:rFonts w:ascii="Arial" w:hAnsi="Arial"/>
        <w:i/>
        <w:color w:val="416529"/>
        <w:sz w:val="22"/>
      </w:rPr>
      <w:tcPr>
        <w:tcBorders>
          <w:top w:val="nil" w:sz="4" w:space="0" w:color="auto"/>
          <w:left w:val="nil" w:sz="4" w:space="0" w:color="auto"/>
          <w:bottom w:val="nil" w:sz="4" w:space="0" w:color="auto"/>
          <w:right w:val="single" w:sz="4" w:space="0" w:color="ADD394"/>
        </w:tcBorders>
      </w:tcPr>
    </w:tblStylePr>
    <w:tblStylePr w:type="lastCol">
      <w:rPr>
        <w:rFonts w:ascii="Arial" w:hAnsi="Arial"/>
        <w:i/>
        <w:color w:val="416529"/>
        <w:sz w:val="22"/>
      </w:rPr>
      <w:tcPr>
        <w:tcBorders>
          <w:top w:val="nil" w:sz="4" w:space="0" w:color="auto"/>
          <w:left w:val="single" w:sz="4" w:space="0" w:color="ADD394"/>
          <w:bottom w:val="nil" w:sz="4" w:space="0" w:color="auto"/>
          <w:right w:val="nil" w:sz="4" w:space="0" w:color="auto"/>
        </w:tcBorders>
      </w:tcPr>
    </w:tblStylePr>
    <w:tblStylePr w:type="firstRow">
      <w:rPr>
        <w:rFonts w:ascii="Arial" w:hAnsi="Arial"/>
        <w:b/>
        <w:color w:val="416529"/>
        <w:sz w:val="22"/>
      </w:rPr>
      <w:tcPr>
        <w:tcBorders>
          <w:top w:val="nil" w:sz="4" w:space="0" w:color="auto"/>
          <w:left w:val="nil" w:sz="4" w:space="0" w:color="auto"/>
          <w:bottom w:val="single" w:sz="4" w:space="0" w:color="ADD394"/>
          <w:right w:val="nil" w:sz="4" w:space="0" w:color="auto"/>
        </w:tcBorders>
        <w:shd w:val="clear" w:color="auto" w:fill="FFFFFF"/>
      </w:tcPr>
    </w:tblStylePr>
    <w:tblStylePr w:type="lastRow">
      <w:rPr>
        <w:rFonts w:ascii="Arial" w:hAnsi="Arial"/>
        <w:b/>
        <w:color w:val="416529"/>
        <w:sz w:val="22"/>
      </w:rPr>
      <w:tcPr>
        <w:tcBorders>
          <w:top w:val="single" w:sz="4" w:space="0" w:color="ADD394"/>
          <w:left w:val="nil" w:sz="4" w:space="0" w:color="auto"/>
          <w:bottom w:val="nil" w:sz="4" w:space="0" w:color="auto"/>
          <w:right w:val="nil" w:sz="4" w:space="0" w:color="auto"/>
        </w:tcBorders>
        <w:shd w:val="clear" w:color="auto" w:fill="FFFFFF"/>
      </w:tcPr>
    </w:tblStylePr>
  </w:style>
  <w:style w:type="table" w:styleId="TabeladeLista1Clara">
    <w:name w:val="List Table 1 Light"/>
    <w:basedOn w:val="Tabelanormal"/>
    <w:uiPriority w:val="99"/>
    <w:tblPr>
      <w:tblStyleRowBandSize w:val="1"/>
    </w:tblPr>
    <w:tblStylePr w:type="band1Vert">
      <w:tcPr>
        <w:shd w:val="clear" w:color="auto" w:fill="BFBFBF"/>
      </w:tcPr>
    </w:tblStylePr>
    <w:tblStylePr w:type="band1Horz">
      <w:tcPr>
        <w:shd w:val="clear" w:color="auto" w:fill="BFBFBF"/>
      </w:tcPr>
    </w:tblStylePr>
    <w:tblStylePr w:type="firstCol">
      <w:rPr>
        <w:b/>
        <w:color w:val="404040"/>
      </w:rPr>
    </w:tblStylePr>
    <w:tblStylePr w:type="lastCol">
      <w:rPr>
        <w:b/>
        <w:color w:val="404040"/>
      </w:rPr>
    </w:tblStylePr>
    <w:tblStylePr w:type="firstRow">
      <w:rPr>
        <w:b/>
        <w:color w:val="404040"/>
      </w:rPr>
      <w:tcPr>
        <w:tcBorders>
          <w:top w:val="nil" w:sz="4" w:space="0" w:color="auto"/>
          <w:left w:val="nil" w:sz="4" w:space="0" w:color="auto"/>
          <w:bottom w:val="single" w:sz="4" w:space="0" w:color="000000"/>
          <w:right w:val="nil" w:sz="4" w:space="0" w:color="auto"/>
        </w:tcBorders>
      </w:tcPr>
    </w:tblStylePr>
    <w:tblStylePr w:type="lastRow">
      <w:rPr>
        <w:b/>
        <w:color w:val="404040"/>
      </w:rPr>
      <w:tcPr>
        <w:tcBorders>
          <w:top w:val="single" w:sz="4" w:space="0" w:color="000000"/>
          <w:left w:val="nil" w:sz="4" w:space="0" w:color="auto"/>
          <w:bottom w:val="nil" w:sz="4" w:space="0" w:color="auto"/>
          <w:right w:val="nil" w:sz="4" w:space="0" w:color="auto"/>
        </w:tcBorders>
      </w:tcPr>
    </w:tblStylePr>
  </w:style>
  <w:style w:type="table" w:styleId="ListTable1Light-Accent1" w:customStyle="1">
    <w:name w:val="List Table 1 Light - Accent 1"/>
    <w:basedOn w:val="Tabelanormal"/>
    <w:uiPriority w:val="99"/>
    <w:tblPr>
      <w:tblStyleRowBandSize w:val="1"/>
    </w:tblPr>
    <w:tblStylePr w:type="band1Vert">
      <w:tcPr>
        <w:shd w:val="clear" w:color="auto" w:fill="D0DCF0"/>
      </w:tcPr>
    </w:tblStylePr>
    <w:tblStylePr w:type="band1Horz">
      <w:tcPr>
        <w:shd w:val="clear" w:color="auto" w:fill="D0DCF0"/>
      </w:tcPr>
    </w:tblStylePr>
    <w:tblStylePr w:type="firstCol">
      <w:rPr>
        <w:b/>
        <w:color w:val="404040"/>
      </w:rPr>
    </w:tblStylePr>
    <w:tblStylePr w:type="lastCol">
      <w:rPr>
        <w:b/>
        <w:color w:val="404040"/>
      </w:rPr>
    </w:tblStylePr>
    <w:tblStylePr w:type="firstRow">
      <w:rPr>
        <w:b/>
        <w:color w:val="404040"/>
      </w:rPr>
      <w:tcPr>
        <w:tcBorders>
          <w:top w:val="nil" w:sz="4" w:space="0" w:color="auto"/>
          <w:left w:val="nil" w:sz="4" w:space="0" w:color="auto"/>
          <w:bottom w:val="single" w:sz="4" w:space="0" w:color="4472C4"/>
          <w:right w:val="nil" w:sz="4" w:space="0" w:color="auto"/>
        </w:tcBorders>
      </w:tcPr>
    </w:tblStylePr>
    <w:tblStylePr w:type="lastRow">
      <w:rPr>
        <w:b/>
        <w:color w:val="404040"/>
      </w:rPr>
      <w:tcPr>
        <w:tcBorders>
          <w:top w:val="single" w:sz="4" w:space="0" w:color="4472C4"/>
          <w:left w:val="nil" w:sz="4" w:space="0" w:color="auto"/>
          <w:bottom w:val="nil" w:sz="4" w:space="0" w:color="auto"/>
          <w:right w:val="nil" w:sz="4" w:space="0" w:color="auto"/>
        </w:tcBorders>
      </w:tcPr>
    </w:tblStylePr>
  </w:style>
  <w:style w:type="table" w:styleId="ListTable1Light-Accent2" w:customStyle="1">
    <w:name w:val="List Table 1 Light - Accent 2"/>
    <w:basedOn w:val="Tabelanormal"/>
    <w:uiPriority w:val="99"/>
    <w:tblPr>
      <w:tblStyleRowBandSize w:val="1"/>
    </w:tblPr>
    <w:tblStylePr w:type="band1Vert">
      <w:tcPr>
        <w:shd w:val="clear" w:color="auto" w:fill="FADECB"/>
      </w:tcPr>
    </w:tblStylePr>
    <w:tblStylePr w:type="band1Horz">
      <w:tcPr>
        <w:shd w:val="clear" w:color="auto" w:fill="FADECB"/>
      </w:tcPr>
    </w:tblStylePr>
    <w:tblStylePr w:type="firstCol">
      <w:rPr>
        <w:b/>
        <w:color w:val="404040"/>
      </w:rPr>
    </w:tblStylePr>
    <w:tblStylePr w:type="lastCol">
      <w:rPr>
        <w:b/>
        <w:color w:val="404040"/>
      </w:rPr>
    </w:tblStylePr>
    <w:tblStylePr w:type="firstRow">
      <w:rPr>
        <w:b/>
        <w:color w:val="404040"/>
      </w:rPr>
      <w:tcPr>
        <w:tcBorders>
          <w:top w:val="nil" w:sz="4" w:space="0" w:color="auto"/>
          <w:left w:val="nil" w:sz="4" w:space="0" w:color="auto"/>
          <w:bottom w:val="single" w:sz="4" w:space="0" w:color="ED7D31"/>
          <w:right w:val="nil" w:sz="4" w:space="0" w:color="auto"/>
        </w:tcBorders>
      </w:tcPr>
    </w:tblStylePr>
    <w:tblStylePr w:type="lastRow">
      <w:rPr>
        <w:b/>
        <w:color w:val="404040"/>
      </w:rPr>
      <w:tcPr>
        <w:tcBorders>
          <w:top w:val="single" w:sz="4" w:space="0" w:color="ED7D31"/>
          <w:left w:val="nil" w:sz="4" w:space="0" w:color="auto"/>
          <w:bottom w:val="nil" w:sz="4" w:space="0" w:color="auto"/>
          <w:right w:val="nil" w:sz="4" w:space="0" w:color="auto"/>
        </w:tcBorders>
      </w:tcPr>
    </w:tblStylePr>
  </w:style>
  <w:style w:type="table" w:styleId="ListTable1Light-Accent3" w:customStyle="1">
    <w:name w:val="List Table 1 Light - Accent 3"/>
    <w:basedOn w:val="Tabelanormal"/>
    <w:uiPriority w:val="99"/>
    <w:tblPr>
      <w:tblStyleRowBandSize w:val="1"/>
    </w:tblPr>
    <w:tblStylePr w:type="band1Vert">
      <w:tcPr>
        <w:shd w:val="clear" w:color="auto" w:fill="E8E8E8"/>
      </w:tcPr>
    </w:tblStylePr>
    <w:tblStylePr w:type="band1Horz">
      <w:tcPr>
        <w:shd w:val="clear" w:color="auto" w:fill="E8E8E8"/>
      </w:tcPr>
    </w:tblStylePr>
    <w:tblStylePr w:type="firstCol">
      <w:rPr>
        <w:b/>
        <w:color w:val="404040"/>
      </w:rPr>
    </w:tblStylePr>
    <w:tblStylePr w:type="lastCol">
      <w:rPr>
        <w:b/>
        <w:color w:val="404040"/>
      </w:rPr>
    </w:tblStylePr>
    <w:tblStylePr w:type="firstRow">
      <w:rPr>
        <w:b/>
        <w:color w:val="404040"/>
      </w:rPr>
      <w:tcPr>
        <w:tcBorders>
          <w:top w:val="nil" w:sz="4" w:space="0" w:color="auto"/>
          <w:left w:val="nil" w:sz="4" w:space="0" w:color="auto"/>
          <w:bottom w:val="single" w:sz="4" w:space="0" w:color="A5A5A5"/>
          <w:right w:val="nil" w:sz="4" w:space="0" w:color="auto"/>
        </w:tcBorders>
      </w:tcPr>
    </w:tblStylePr>
    <w:tblStylePr w:type="lastRow">
      <w:rPr>
        <w:b/>
        <w:color w:val="404040"/>
      </w:rPr>
      <w:tcPr>
        <w:tcBorders>
          <w:top w:val="single" w:sz="4" w:space="0" w:color="A5A5A5"/>
          <w:left w:val="nil" w:sz="4" w:space="0" w:color="auto"/>
          <w:bottom w:val="nil" w:sz="4" w:space="0" w:color="auto"/>
          <w:right w:val="nil" w:sz="4" w:space="0" w:color="auto"/>
        </w:tcBorders>
      </w:tcPr>
    </w:tblStylePr>
  </w:style>
  <w:style w:type="table" w:styleId="ListTable1Light-Accent4" w:customStyle="1">
    <w:name w:val="List Table 1 Light - Accent 4"/>
    <w:basedOn w:val="Tabelanormal"/>
    <w:uiPriority w:val="99"/>
    <w:tblPr>
      <w:tblStyleRowBandSize w:val="1"/>
    </w:tblPr>
    <w:tblStylePr w:type="band1Vert">
      <w:tcPr>
        <w:shd w:val="clear" w:color="auto" w:fill="FFEFBF"/>
      </w:tcPr>
    </w:tblStylePr>
    <w:tblStylePr w:type="band1Horz">
      <w:tcPr>
        <w:shd w:val="clear" w:color="auto" w:fill="FFEFBF"/>
      </w:tcPr>
    </w:tblStylePr>
    <w:tblStylePr w:type="firstCol">
      <w:rPr>
        <w:b/>
        <w:color w:val="404040"/>
      </w:rPr>
    </w:tblStylePr>
    <w:tblStylePr w:type="lastCol">
      <w:rPr>
        <w:b/>
        <w:color w:val="404040"/>
      </w:rPr>
    </w:tblStylePr>
    <w:tblStylePr w:type="firstRow">
      <w:rPr>
        <w:b/>
        <w:color w:val="404040"/>
      </w:rPr>
      <w:tcPr>
        <w:tcBorders>
          <w:top w:val="nil" w:sz="4" w:space="0" w:color="auto"/>
          <w:left w:val="nil" w:sz="4" w:space="0" w:color="auto"/>
          <w:bottom w:val="single" w:sz="4" w:space="0" w:color="FFC000"/>
          <w:right w:val="nil" w:sz="4" w:space="0" w:color="auto"/>
        </w:tcBorders>
      </w:tcPr>
    </w:tblStylePr>
    <w:tblStylePr w:type="lastRow">
      <w:rPr>
        <w:b/>
        <w:color w:val="404040"/>
      </w:rPr>
      <w:tcPr>
        <w:tcBorders>
          <w:top w:val="single" w:sz="4" w:space="0" w:color="FFC000"/>
          <w:left w:val="nil" w:sz="4" w:space="0" w:color="auto"/>
          <w:bottom w:val="nil" w:sz="4" w:space="0" w:color="auto"/>
          <w:right w:val="nil" w:sz="4" w:space="0" w:color="auto"/>
        </w:tcBorders>
      </w:tcPr>
    </w:tblStylePr>
  </w:style>
  <w:style w:type="table" w:styleId="ListTable1Light-Accent5" w:customStyle="1">
    <w:name w:val="List Table 1 Light - Accent 5"/>
    <w:basedOn w:val="Tabelanormal"/>
    <w:uiPriority w:val="99"/>
    <w:tblPr>
      <w:tblStyleRowBandSize w:val="1"/>
    </w:tblPr>
    <w:tblStylePr w:type="band1Vert">
      <w:tcPr>
        <w:shd w:val="clear" w:color="auto" w:fill="D6E6F4"/>
      </w:tcPr>
    </w:tblStylePr>
    <w:tblStylePr w:type="band1Horz">
      <w:tcPr>
        <w:shd w:val="clear" w:color="auto" w:fill="D6E6F4"/>
      </w:tcPr>
    </w:tblStylePr>
    <w:tblStylePr w:type="firstCol">
      <w:rPr>
        <w:b/>
        <w:color w:val="404040"/>
      </w:rPr>
    </w:tblStylePr>
    <w:tblStylePr w:type="lastCol">
      <w:rPr>
        <w:b/>
        <w:color w:val="404040"/>
      </w:rPr>
    </w:tblStylePr>
    <w:tblStylePr w:type="firstRow">
      <w:rPr>
        <w:b/>
        <w:color w:val="404040"/>
      </w:rPr>
      <w:tcPr>
        <w:tcBorders>
          <w:top w:val="nil" w:sz="4" w:space="0" w:color="auto"/>
          <w:left w:val="nil" w:sz="4" w:space="0" w:color="auto"/>
          <w:bottom w:val="single" w:sz="4" w:space="0" w:color="5B9BD5"/>
          <w:right w:val="nil" w:sz="4" w:space="0" w:color="auto"/>
        </w:tcBorders>
      </w:tcPr>
    </w:tblStylePr>
    <w:tblStylePr w:type="lastRow">
      <w:rPr>
        <w:b/>
        <w:color w:val="404040"/>
      </w:rPr>
      <w:tcPr>
        <w:tcBorders>
          <w:top w:val="single" w:sz="4" w:space="0" w:color="5B9BD5"/>
          <w:left w:val="nil" w:sz="4" w:space="0" w:color="auto"/>
          <w:bottom w:val="nil" w:sz="4" w:space="0" w:color="auto"/>
          <w:right w:val="nil" w:sz="4" w:space="0" w:color="auto"/>
        </w:tcBorders>
      </w:tcPr>
    </w:tblStylePr>
  </w:style>
  <w:style w:type="table" w:styleId="ListTable1Light-Accent6" w:customStyle="1">
    <w:name w:val="List Table 1 Light - Accent 6"/>
    <w:basedOn w:val="Tabelanormal"/>
    <w:uiPriority w:val="99"/>
    <w:tblPr>
      <w:tblStyleRowBandSize w:val="1"/>
    </w:tblPr>
    <w:tblStylePr w:type="band1Vert">
      <w:tcPr>
        <w:shd w:val="clear" w:color="auto" w:fill="DBECD0"/>
      </w:tcPr>
    </w:tblStylePr>
    <w:tblStylePr w:type="band1Horz">
      <w:tcPr>
        <w:shd w:val="clear" w:color="auto" w:fill="DBECD0"/>
      </w:tcPr>
    </w:tblStylePr>
    <w:tblStylePr w:type="firstCol">
      <w:rPr>
        <w:b/>
        <w:color w:val="404040"/>
      </w:rPr>
    </w:tblStylePr>
    <w:tblStylePr w:type="lastCol">
      <w:rPr>
        <w:b/>
        <w:color w:val="404040"/>
      </w:rPr>
    </w:tblStylePr>
    <w:tblStylePr w:type="firstRow">
      <w:rPr>
        <w:b/>
        <w:color w:val="404040"/>
      </w:rPr>
      <w:tcPr>
        <w:tcBorders>
          <w:top w:val="nil" w:sz="4" w:space="0" w:color="auto"/>
          <w:left w:val="nil" w:sz="4" w:space="0" w:color="auto"/>
          <w:bottom w:val="single" w:sz="4" w:space="0" w:color="70AD47"/>
          <w:right w:val="nil" w:sz="4" w:space="0" w:color="auto"/>
        </w:tcBorders>
      </w:tcPr>
    </w:tblStylePr>
    <w:tblStylePr w:type="lastRow">
      <w:rPr>
        <w:b/>
        <w:color w:val="404040"/>
      </w:rPr>
      <w:tcPr>
        <w:tcBorders>
          <w:top w:val="single" w:sz="4" w:space="0" w:color="70AD47"/>
          <w:left w:val="nil" w:sz="4" w:space="0" w:color="auto"/>
          <w:bottom w:val="nil" w:sz="4" w:space="0" w:color="auto"/>
          <w:right w:val="nil" w:sz="4" w:space="0" w:color="auto"/>
        </w:tcBorders>
      </w:tcPr>
    </w:tblStylePr>
  </w:style>
  <w:style w:type="table" w:styleId="TabeladeLista2">
    <w:name w:val="List Table 2"/>
    <w:basedOn w:val="Tabelanormal"/>
    <w:uiPriority w:val="99"/>
    <w:tblPr>
      <w:tblStyleRowBandSize w:val="1"/>
      <w:tblBorders>
        <w:top w:val="single" w:sz="4" w:space="0" w:color="6F6F6F"/>
        <w:bottom w:val="single" w:sz="4" w:space="0" w:color="6F6F6F"/>
        <w:insideH w:val="single" w:sz="4" w:space="0" w:color="6F6F6F"/>
      </w:tblBorders>
    </w:tblPr>
    <w:tblStylePr w:type="band1Vert">
      <w:rPr>
        <w:rFonts w:ascii="Arial" w:hAnsi="Arial"/>
        <w:color w:val="404040"/>
        <w:sz w:val="22"/>
      </w:rPr>
      <w:tcPr>
        <w:shd w:val="clear" w:color="auto" w:fill="BFBFBF"/>
      </w:tcPr>
    </w:tblStylePr>
    <w:tblStylePr w:type="band1Horz">
      <w:rPr>
        <w:rFonts w:ascii="Arial" w:hAnsi="Arial"/>
        <w:color w:val="404040"/>
        <w:sz w:val="22"/>
      </w:rPr>
      <w:tcPr>
        <w:shd w:val="clear" w:color="auto" w:fill="BFBFBF"/>
      </w:tcPr>
    </w:tblStylePr>
    <w:tblStylePr w:type="firstCol">
      <w:rPr>
        <w:rFonts w:ascii="Arial" w:hAnsi="Arial"/>
        <w:b/>
        <w:color w:val="404040"/>
        <w:sz w:val="22"/>
      </w:rPr>
    </w:tblStylePr>
    <w:tblStylePr w:type="lastCol">
      <w:rPr>
        <w:rFonts w:ascii="Arial" w:hAnsi="Arial"/>
        <w:b/>
        <w:color w:val="404040"/>
        <w:sz w:val="22"/>
      </w:rPr>
    </w:tblStylePr>
    <w:tblStylePr w:type="firstRow">
      <w:rPr>
        <w:rFonts w:ascii="Arial" w:hAnsi="Arial"/>
        <w:b/>
        <w:color w:val="404040"/>
        <w:sz w:val="22"/>
      </w:rPr>
      <w:tcPr>
        <w:tcBorders>
          <w:top w:val="single" w:sz="4" w:space="0" w:color="6F6F6F"/>
          <w:left w:val="nil" w:sz="4" w:space="0" w:color="auto"/>
          <w:bottom w:val="single" w:sz="4" w:space="0" w:color="6F6F6F"/>
          <w:right w:val="nil" w:sz="4" w:space="0" w:color="auto"/>
        </w:tcBorders>
      </w:tcPr>
    </w:tblStylePr>
    <w:tblStylePr w:type="lastRow">
      <w:rPr>
        <w:rFonts w:ascii="Arial" w:hAnsi="Arial"/>
        <w:b/>
        <w:color w:val="404040"/>
        <w:sz w:val="22"/>
      </w:rPr>
      <w:tcPr>
        <w:tcBorders>
          <w:top w:val="single" w:sz="4" w:space="0" w:color="6F6F6F"/>
          <w:left w:val="nil" w:sz="4" w:space="0" w:color="auto"/>
          <w:bottom w:val="single" w:sz="4" w:space="0" w:color="6F6F6F"/>
          <w:right w:val="nil" w:sz="4" w:space="0" w:color="auto"/>
        </w:tcBorders>
      </w:tcPr>
    </w:tblStylePr>
  </w:style>
  <w:style w:type="table" w:styleId="ListTable2-Accent1" w:customStyle="1">
    <w:name w:val="List Table 2 - Accent 1"/>
    <w:basedOn w:val="Tabelanormal"/>
    <w:uiPriority w:val="99"/>
    <w:tblPr>
      <w:tblStyleRowBandSize w:val="1"/>
      <w:tblBorders>
        <w:top w:val="single" w:sz="4" w:space="0" w:color="95AFDD"/>
        <w:bottom w:val="single" w:sz="4" w:space="0" w:color="95AFDD"/>
        <w:insideH w:val="single" w:sz="4" w:space="0" w:color="95AFDD"/>
      </w:tblBorders>
    </w:tblPr>
    <w:tblStylePr w:type="band1Vert">
      <w:rPr>
        <w:rFonts w:ascii="Arial" w:hAnsi="Arial"/>
        <w:color w:val="404040"/>
        <w:sz w:val="22"/>
      </w:rPr>
      <w:tcPr>
        <w:shd w:val="clear" w:color="auto" w:fill="D0DCF0"/>
      </w:tcPr>
    </w:tblStylePr>
    <w:tblStylePr w:type="band1Horz">
      <w:rPr>
        <w:rFonts w:ascii="Arial" w:hAnsi="Arial"/>
        <w:color w:val="404040"/>
        <w:sz w:val="22"/>
      </w:rPr>
      <w:tcPr>
        <w:shd w:val="clear" w:color="auto" w:fill="D0DCF0"/>
      </w:tcPr>
    </w:tblStylePr>
    <w:tblStylePr w:type="firstCol">
      <w:rPr>
        <w:rFonts w:ascii="Arial" w:hAnsi="Arial"/>
        <w:b/>
        <w:color w:val="404040"/>
        <w:sz w:val="22"/>
      </w:rPr>
    </w:tblStylePr>
    <w:tblStylePr w:type="lastCol">
      <w:rPr>
        <w:rFonts w:ascii="Arial" w:hAnsi="Arial"/>
        <w:b/>
        <w:color w:val="404040"/>
        <w:sz w:val="22"/>
      </w:rPr>
    </w:tblStylePr>
    <w:tblStylePr w:type="firstRow">
      <w:rPr>
        <w:rFonts w:ascii="Arial" w:hAnsi="Arial"/>
        <w:b/>
        <w:color w:val="404040"/>
        <w:sz w:val="22"/>
      </w:rPr>
      <w:tcPr>
        <w:tcBorders>
          <w:top w:val="single" w:sz="4" w:space="0" w:color="95AFDD"/>
          <w:left w:val="nil" w:sz="4" w:space="0" w:color="auto"/>
          <w:bottom w:val="single" w:sz="4" w:space="0" w:color="95AFDD"/>
          <w:right w:val="nil" w:sz="4" w:space="0" w:color="auto"/>
        </w:tcBorders>
      </w:tcPr>
    </w:tblStylePr>
    <w:tblStylePr w:type="lastRow">
      <w:rPr>
        <w:rFonts w:ascii="Arial" w:hAnsi="Arial"/>
        <w:b/>
        <w:color w:val="404040"/>
        <w:sz w:val="22"/>
      </w:rPr>
      <w:tcPr>
        <w:tcBorders>
          <w:top w:val="single" w:sz="4" w:space="0" w:color="95AFDD"/>
          <w:left w:val="nil" w:sz="4" w:space="0" w:color="auto"/>
          <w:bottom w:val="single" w:sz="4" w:space="0" w:color="95AFDD"/>
          <w:right w:val="nil" w:sz="4" w:space="0" w:color="auto"/>
        </w:tcBorders>
      </w:tcPr>
    </w:tblStylePr>
  </w:style>
  <w:style w:type="table" w:styleId="ListTable2-Accent2" w:customStyle="1">
    <w:name w:val="List Table 2 - Accent 2"/>
    <w:basedOn w:val="Tabelanormal"/>
    <w:uiPriority w:val="99"/>
    <w:tblPr>
      <w:tblStyleRowBandSize w:val="1"/>
      <w:tblBorders>
        <w:top w:val="single" w:sz="4" w:space="0" w:color="F4B58A"/>
        <w:bottom w:val="single" w:sz="4" w:space="0" w:color="F4B58A"/>
        <w:insideH w:val="single" w:sz="4" w:space="0" w:color="F4B58A"/>
      </w:tblBorders>
    </w:tblPr>
    <w:tblStylePr w:type="band1Vert">
      <w:rPr>
        <w:rFonts w:ascii="Arial" w:hAnsi="Arial"/>
        <w:color w:val="404040"/>
        <w:sz w:val="22"/>
      </w:rPr>
      <w:tcPr>
        <w:shd w:val="clear" w:color="auto" w:fill="FADECB"/>
      </w:tcPr>
    </w:tblStylePr>
    <w:tblStylePr w:type="band1Horz">
      <w:rPr>
        <w:rFonts w:ascii="Arial" w:hAnsi="Arial"/>
        <w:color w:val="404040"/>
        <w:sz w:val="22"/>
      </w:rPr>
      <w:tcPr>
        <w:shd w:val="clear" w:color="auto" w:fill="FADECB"/>
      </w:tcPr>
    </w:tblStylePr>
    <w:tblStylePr w:type="firstCol">
      <w:rPr>
        <w:rFonts w:ascii="Arial" w:hAnsi="Arial"/>
        <w:b/>
        <w:color w:val="404040"/>
        <w:sz w:val="22"/>
      </w:rPr>
    </w:tblStylePr>
    <w:tblStylePr w:type="lastCol">
      <w:rPr>
        <w:rFonts w:ascii="Arial" w:hAnsi="Arial"/>
        <w:b/>
        <w:color w:val="404040"/>
        <w:sz w:val="22"/>
      </w:rPr>
    </w:tblStylePr>
    <w:tblStylePr w:type="firstRow">
      <w:rPr>
        <w:rFonts w:ascii="Arial" w:hAnsi="Arial"/>
        <w:b/>
        <w:color w:val="404040"/>
        <w:sz w:val="22"/>
      </w:rPr>
      <w:tcPr>
        <w:tcBorders>
          <w:top w:val="single" w:sz="4" w:space="0" w:color="F4B58A"/>
          <w:left w:val="nil" w:sz="4" w:space="0" w:color="auto"/>
          <w:bottom w:val="single" w:sz="4" w:space="0" w:color="F4B58A"/>
          <w:right w:val="nil" w:sz="4" w:space="0" w:color="auto"/>
        </w:tcBorders>
      </w:tcPr>
    </w:tblStylePr>
    <w:tblStylePr w:type="lastRow">
      <w:rPr>
        <w:rFonts w:ascii="Arial" w:hAnsi="Arial"/>
        <w:b/>
        <w:color w:val="404040"/>
        <w:sz w:val="22"/>
      </w:rPr>
      <w:tcPr>
        <w:tcBorders>
          <w:top w:val="single" w:sz="4" w:space="0" w:color="F4B58A"/>
          <w:left w:val="nil" w:sz="4" w:space="0" w:color="auto"/>
          <w:bottom w:val="single" w:sz="4" w:space="0" w:color="F4B58A"/>
          <w:right w:val="nil" w:sz="4" w:space="0" w:color="auto"/>
        </w:tcBorders>
      </w:tcPr>
    </w:tblStylePr>
  </w:style>
  <w:style w:type="table" w:styleId="ListTable2-Accent3" w:customStyle="1">
    <w:name w:val="List Table 2 - Accent 3"/>
    <w:basedOn w:val="Tabelanormal"/>
    <w:uiPriority w:val="99"/>
    <w:tblPr>
      <w:tblStyleRowBandSize w:val="1"/>
      <w:tblBorders>
        <w:top w:val="single" w:sz="4" w:space="0" w:color="CCCCCC"/>
        <w:bottom w:val="single" w:sz="4" w:space="0" w:color="CCCCCC"/>
        <w:insideH w:val="single" w:sz="4" w:space="0" w:color="CCCCCC"/>
      </w:tblBorders>
    </w:tblPr>
    <w:tblStylePr w:type="band1Vert">
      <w:rPr>
        <w:rFonts w:ascii="Arial" w:hAnsi="Arial"/>
        <w:color w:val="404040"/>
        <w:sz w:val="22"/>
      </w:rPr>
      <w:tcPr>
        <w:shd w:val="clear" w:color="auto" w:fill="E8E8E8"/>
      </w:tcPr>
    </w:tblStylePr>
    <w:tblStylePr w:type="band1Horz">
      <w:rPr>
        <w:rFonts w:ascii="Arial" w:hAnsi="Arial"/>
        <w:color w:val="404040"/>
        <w:sz w:val="22"/>
      </w:rPr>
      <w:tcPr>
        <w:shd w:val="clear" w:color="auto" w:fill="E8E8E8"/>
      </w:tcPr>
    </w:tblStylePr>
    <w:tblStylePr w:type="firstCol">
      <w:rPr>
        <w:rFonts w:ascii="Arial" w:hAnsi="Arial"/>
        <w:b/>
        <w:color w:val="404040"/>
        <w:sz w:val="22"/>
      </w:rPr>
    </w:tblStylePr>
    <w:tblStylePr w:type="lastCol">
      <w:rPr>
        <w:rFonts w:ascii="Arial" w:hAnsi="Arial"/>
        <w:b/>
        <w:color w:val="404040"/>
        <w:sz w:val="22"/>
      </w:rPr>
    </w:tblStylePr>
    <w:tblStylePr w:type="firstRow">
      <w:rPr>
        <w:rFonts w:ascii="Arial" w:hAnsi="Arial"/>
        <w:b/>
        <w:color w:val="404040"/>
        <w:sz w:val="22"/>
      </w:rPr>
      <w:tcPr>
        <w:tcBorders>
          <w:top w:val="single" w:sz="4" w:space="0" w:color="CCCCCC"/>
          <w:left w:val="nil" w:sz="4" w:space="0" w:color="auto"/>
          <w:bottom w:val="single" w:sz="4" w:space="0" w:color="CCCCCC"/>
          <w:right w:val="nil" w:sz="4" w:space="0" w:color="auto"/>
        </w:tcBorders>
      </w:tcPr>
    </w:tblStylePr>
    <w:tblStylePr w:type="lastRow">
      <w:rPr>
        <w:rFonts w:ascii="Arial" w:hAnsi="Arial"/>
        <w:b/>
        <w:color w:val="404040"/>
        <w:sz w:val="22"/>
      </w:rPr>
      <w:tcPr>
        <w:tcBorders>
          <w:top w:val="single" w:sz="4" w:space="0" w:color="CCCCCC"/>
          <w:left w:val="nil" w:sz="4" w:space="0" w:color="auto"/>
          <w:bottom w:val="single" w:sz="4" w:space="0" w:color="CCCCCC"/>
          <w:right w:val="nil" w:sz="4" w:space="0" w:color="auto"/>
        </w:tcBorders>
      </w:tcPr>
    </w:tblStylePr>
  </w:style>
  <w:style w:type="table" w:styleId="ListTable2-Accent4" w:customStyle="1">
    <w:name w:val="List Table 2 - Accent 4"/>
    <w:basedOn w:val="Tabelanormal"/>
    <w:uiPriority w:val="99"/>
    <w:tblPr>
      <w:tblStyleRowBandSize w:val="1"/>
      <w:tblBorders>
        <w:top w:val="single" w:sz="4" w:space="0" w:color="FFDB6F"/>
        <w:bottom w:val="single" w:sz="4" w:space="0" w:color="FFDB6F"/>
        <w:insideH w:val="single" w:sz="4" w:space="0" w:color="FFDB6F"/>
      </w:tblBorders>
    </w:tblPr>
    <w:tblStylePr w:type="band1Vert">
      <w:rPr>
        <w:rFonts w:ascii="Arial" w:hAnsi="Arial"/>
        <w:color w:val="404040"/>
        <w:sz w:val="22"/>
      </w:rPr>
      <w:tcPr>
        <w:shd w:val="clear" w:color="auto" w:fill="FFEFBF"/>
      </w:tcPr>
    </w:tblStylePr>
    <w:tblStylePr w:type="band1Horz">
      <w:rPr>
        <w:rFonts w:ascii="Arial" w:hAnsi="Arial"/>
        <w:color w:val="404040"/>
        <w:sz w:val="22"/>
      </w:rPr>
      <w:tcPr>
        <w:shd w:val="clear" w:color="auto" w:fill="FFEFBF"/>
      </w:tcPr>
    </w:tblStylePr>
    <w:tblStylePr w:type="firstCol">
      <w:rPr>
        <w:rFonts w:ascii="Arial" w:hAnsi="Arial"/>
        <w:b/>
        <w:color w:val="404040"/>
        <w:sz w:val="22"/>
      </w:rPr>
    </w:tblStylePr>
    <w:tblStylePr w:type="lastCol">
      <w:rPr>
        <w:rFonts w:ascii="Arial" w:hAnsi="Arial"/>
        <w:b/>
        <w:color w:val="404040"/>
        <w:sz w:val="22"/>
      </w:rPr>
    </w:tblStylePr>
    <w:tblStylePr w:type="firstRow">
      <w:rPr>
        <w:rFonts w:ascii="Arial" w:hAnsi="Arial"/>
        <w:b/>
        <w:color w:val="404040"/>
        <w:sz w:val="22"/>
      </w:rPr>
      <w:tcPr>
        <w:tcBorders>
          <w:top w:val="single" w:sz="4" w:space="0" w:color="FFDB6F"/>
          <w:left w:val="nil" w:sz="4" w:space="0" w:color="auto"/>
          <w:bottom w:val="single" w:sz="4" w:space="0" w:color="FFDB6F"/>
          <w:right w:val="nil" w:sz="4" w:space="0" w:color="auto"/>
        </w:tcBorders>
      </w:tcPr>
    </w:tblStylePr>
    <w:tblStylePr w:type="lastRow">
      <w:rPr>
        <w:rFonts w:ascii="Arial" w:hAnsi="Arial"/>
        <w:b/>
        <w:color w:val="404040"/>
        <w:sz w:val="22"/>
      </w:rPr>
      <w:tcPr>
        <w:tcBorders>
          <w:top w:val="single" w:sz="4" w:space="0" w:color="FFDB6F"/>
          <w:left w:val="nil" w:sz="4" w:space="0" w:color="auto"/>
          <w:bottom w:val="single" w:sz="4" w:space="0" w:color="FFDB6F"/>
          <w:right w:val="nil" w:sz="4" w:space="0" w:color="auto"/>
        </w:tcBorders>
      </w:tcPr>
    </w:tblStylePr>
  </w:style>
  <w:style w:type="table" w:styleId="ListTable2-Accent5" w:customStyle="1">
    <w:name w:val="List Table 2 - Accent 5"/>
    <w:basedOn w:val="Tabelanormal"/>
    <w:uiPriority w:val="99"/>
    <w:tblPr>
      <w:tblStyleRowBandSize w:val="1"/>
      <w:tblBorders>
        <w:top w:val="single" w:sz="4" w:space="0" w:color="A2C6E7"/>
        <w:bottom w:val="single" w:sz="4" w:space="0" w:color="A2C6E7"/>
        <w:insideH w:val="single" w:sz="4" w:space="0" w:color="A2C6E7"/>
      </w:tblBorders>
    </w:tblPr>
    <w:tblStylePr w:type="band1Vert">
      <w:rPr>
        <w:rFonts w:ascii="Arial" w:hAnsi="Arial"/>
        <w:color w:val="404040"/>
        <w:sz w:val="22"/>
      </w:rPr>
      <w:tcPr>
        <w:shd w:val="clear" w:color="auto" w:fill="D6E6F4"/>
      </w:tcPr>
    </w:tblStylePr>
    <w:tblStylePr w:type="band1Horz">
      <w:rPr>
        <w:rFonts w:ascii="Arial" w:hAnsi="Arial"/>
        <w:color w:val="404040"/>
        <w:sz w:val="22"/>
      </w:rPr>
      <w:tcPr>
        <w:shd w:val="clear" w:color="auto" w:fill="D6E6F4"/>
      </w:tcPr>
    </w:tblStylePr>
    <w:tblStylePr w:type="firstCol">
      <w:rPr>
        <w:rFonts w:ascii="Arial" w:hAnsi="Arial"/>
        <w:b/>
        <w:color w:val="404040"/>
        <w:sz w:val="22"/>
      </w:rPr>
    </w:tblStylePr>
    <w:tblStylePr w:type="lastCol">
      <w:rPr>
        <w:rFonts w:ascii="Arial" w:hAnsi="Arial"/>
        <w:b/>
        <w:color w:val="404040"/>
        <w:sz w:val="22"/>
      </w:rPr>
    </w:tblStylePr>
    <w:tblStylePr w:type="firstRow">
      <w:rPr>
        <w:rFonts w:ascii="Arial" w:hAnsi="Arial"/>
        <w:b/>
        <w:color w:val="404040"/>
        <w:sz w:val="22"/>
      </w:rPr>
      <w:tcPr>
        <w:tcBorders>
          <w:top w:val="single" w:sz="4" w:space="0" w:color="A2C6E7"/>
          <w:left w:val="nil" w:sz="4" w:space="0" w:color="auto"/>
          <w:bottom w:val="single" w:sz="4" w:space="0" w:color="A2C6E7"/>
          <w:right w:val="nil" w:sz="4" w:space="0" w:color="auto"/>
        </w:tcBorders>
      </w:tcPr>
    </w:tblStylePr>
    <w:tblStylePr w:type="lastRow">
      <w:rPr>
        <w:rFonts w:ascii="Arial" w:hAnsi="Arial"/>
        <w:b/>
        <w:color w:val="404040"/>
        <w:sz w:val="22"/>
      </w:rPr>
      <w:tcPr>
        <w:tcBorders>
          <w:top w:val="single" w:sz="4" w:space="0" w:color="A2C6E7"/>
          <w:left w:val="nil" w:sz="4" w:space="0" w:color="auto"/>
          <w:bottom w:val="single" w:sz="4" w:space="0" w:color="A2C6E7"/>
          <w:right w:val="nil" w:sz="4" w:space="0" w:color="auto"/>
        </w:tcBorders>
      </w:tcPr>
    </w:tblStylePr>
  </w:style>
  <w:style w:type="table" w:styleId="ListTable2-Accent6" w:customStyle="1">
    <w:name w:val="List Table 2 - Accent 6"/>
    <w:basedOn w:val="Tabelanormal"/>
    <w:uiPriority w:val="99"/>
    <w:tblPr>
      <w:tblStyleRowBandSize w:val="1"/>
      <w:tblBorders>
        <w:top w:val="single" w:sz="4" w:space="0" w:color="ADD394"/>
        <w:bottom w:val="single" w:sz="4" w:space="0" w:color="ADD394"/>
        <w:insideH w:val="single" w:sz="4" w:space="0" w:color="ADD394"/>
      </w:tblBorders>
    </w:tblPr>
    <w:tblStylePr w:type="band1Vert">
      <w:rPr>
        <w:rFonts w:ascii="Arial" w:hAnsi="Arial"/>
        <w:color w:val="404040"/>
        <w:sz w:val="22"/>
      </w:rPr>
      <w:tcPr>
        <w:shd w:val="clear" w:color="auto" w:fill="DBECD0"/>
      </w:tcPr>
    </w:tblStylePr>
    <w:tblStylePr w:type="band1Horz">
      <w:rPr>
        <w:rFonts w:ascii="Arial" w:hAnsi="Arial"/>
        <w:color w:val="404040"/>
        <w:sz w:val="22"/>
      </w:rPr>
      <w:tcPr>
        <w:shd w:val="clear" w:color="auto" w:fill="DBECD0"/>
      </w:tcPr>
    </w:tblStylePr>
    <w:tblStylePr w:type="firstCol">
      <w:rPr>
        <w:rFonts w:ascii="Arial" w:hAnsi="Arial"/>
        <w:b/>
        <w:color w:val="404040"/>
        <w:sz w:val="22"/>
      </w:rPr>
    </w:tblStylePr>
    <w:tblStylePr w:type="lastCol">
      <w:rPr>
        <w:rFonts w:ascii="Arial" w:hAnsi="Arial"/>
        <w:b/>
        <w:color w:val="404040"/>
        <w:sz w:val="22"/>
      </w:rPr>
    </w:tblStylePr>
    <w:tblStylePr w:type="firstRow">
      <w:rPr>
        <w:rFonts w:ascii="Arial" w:hAnsi="Arial"/>
        <w:b/>
        <w:color w:val="404040"/>
        <w:sz w:val="22"/>
      </w:rPr>
      <w:tcPr>
        <w:tcBorders>
          <w:top w:val="single" w:sz="4" w:space="0" w:color="ADD394"/>
          <w:left w:val="nil" w:sz="4" w:space="0" w:color="auto"/>
          <w:bottom w:val="single" w:sz="4" w:space="0" w:color="ADD394"/>
          <w:right w:val="nil" w:sz="4" w:space="0" w:color="auto"/>
        </w:tcBorders>
      </w:tcPr>
    </w:tblStylePr>
    <w:tblStylePr w:type="lastRow">
      <w:rPr>
        <w:rFonts w:ascii="Arial" w:hAnsi="Arial"/>
        <w:b/>
        <w:color w:val="404040"/>
        <w:sz w:val="22"/>
      </w:rPr>
      <w:tcPr>
        <w:tcBorders>
          <w:top w:val="single" w:sz="4" w:space="0" w:color="ADD394"/>
          <w:left w:val="nil" w:sz="4" w:space="0" w:color="auto"/>
          <w:bottom w:val="single" w:sz="4" w:space="0" w:color="ADD394"/>
          <w:right w:val="nil" w:sz="4" w:space="0" w:color="auto"/>
        </w:tcBorders>
      </w:tcPr>
    </w:tblStylePr>
  </w:style>
  <w:style w:type="table" w:styleId="TabeladeLista3">
    <w:name w:val="List Table 3"/>
    <w:basedOn w:val="Tabelanormal"/>
    <w:uiPriority w:val="99"/>
    <w:tblPr>
      <w:tblStyleRowBandSize w:val="1"/>
      <w:tblBorders>
        <w:top w:val="single" w:sz="4" w:space="0" w:color="000000"/>
        <w:left w:val="single" w:sz="4" w:space="0" w:color="000000"/>
        <w:bottom w:val="single" w:sz="4" w:space="0" w:color="000000"/>
        <w:right w:val="single" w:sz="4" w:space="0" w:color="000000"/>
      </w:tblBorders>
    </w:tblPr>
    <w:tblStylePr w:type="band1Vert">
      <w:rPr>
        <w:rFonts w:ascii="Arial" w:hAnsi="Arial"/>
        <w:color w:val="404040"/>
        <w:sz w:val="22"/>
      </w:rPr>
      <w:tcPr>
        <w:tcBorders>
          <w:left w:val="single" w:sz="4" w:space="0" w:color="000000"/>
          <w:right w:val="single" w:sz="4" w:space="0" w:color="000000"/>
        </w:tcBorders>
      </w:tcPr>
    </w:tblStylePr>
    <w:tblStylePr w:type="band1Horz">
      <w:rPr>
        <w:rFonts w:ascii="Arial" w:hAnsi="Arial"/>
        <w:color w:val="404040"/>
        <w:sz w:val="22"/>
      </w:rPr>
      <w:tcPr>
        <w:tcBorders>
          <w:top w:val="single" w:sz="4" w:space="0" w:color="000000"/>
          <w:bottom w:val="single" w:sz="4" w:space="0" w:color="000000"/>
        </w:tcBorders>
      </w:tcPr>
    </w:tblStylePr>
    <w:tblStylePr w:type="firstCol">
      <w:rPr>
        <w:b/>
        <w:color w:val="404040"/>
      </w:rPr>
    </w:tblStylePr>
    <w:tblStylePr w:type="lastCol">
      <w:rPr>
        <w:b/>
        <w:color w:val="404040"/>
      </w:rPr>
    </w:tblStylePr>
    <w:tblStylePr w:type="firstRow">
      <w:rPr>
        <w:rFonts w:ascii="Arial" w:hAnsi="Arial"/>
        <w:b/>
        <w:color w:val="FFFFFF"/>
        <w:sz w:val="22"/>
      </w:rPr>
      <w:tcPr>
        <w:shd w:val="clear" w:color="auto" w:fill="000000"/>
      </w:tcPr>
    </w:tblStylePr>
    <w:tblStylePr w:type="lastRow">
      <w:rPr>
        <w:b/>
        <w:color w:val="404040"/>
      </w:rPr>
    </w:tblStylePr>
  </w:style>
  <w:style w:type="table" w:styleId="ListTable3-Accent1" w:customStyle="1">
    <w:name w:val="List Table 3 - Accent 1"/>
    <w:basedOn w:val="Tabelanormal"/>
    <w:uiPriority w:val="99"/>
    <w:tblPr>
      <w:tblStyleRowBandSize w:val="1"/>
      <w:tblBorders>
        <w:top w:val="single" w:sz="4" w:space="0" w:color="4472C4"/>
        <w:left w:val="single" w:sz="4" w:space="0" w:color="4472C4"/>
        <w:bottom w:val="single" w:sz="4" w:space="0" w:color="4472C4"/>
        <w:right w:val="single" w:sz="4" w:space="0" w:color="4472C4"/>
      </w:tblBorders>
    </w:tblPr>
    <w:tblStylePr w:type="band1Vert">
      <w:rPr>
        <w:rFonts w:ascii="Arial" w:hAnsi="Arial"/>
        <w:color w:val="404040"/>
        <w:sz w:val="22"/>
      </w:rPr>
      <w:tcPr>
        <w:tcBorders>
          <w:left w:val="single" w:sz="4" w:space="0" w:color="4472C4"/>
          <w:right w:val="single" w:sz="4" w:space="0" w:color="4472C4"/>
        </w:tcBorders>
      </w:tcPr>
    </w:tblStylePr>
    <w:tblStylePr w:type="band1Horz">
      <w:rPr>
        <w:rFonts w:ascii="Arial" w:hAnsi="Arial"/>
        <w:color w:val="404040"/>
        <w:sz w:val="22"/>
      </w:rPr>
      <w:tcPr>
        <w:tcBorders>
          <w:top w:val="single" w:sz="4" w:space="0" w:color="4472C4"/>
          <w:bottom w:val="single" w:sz="4" w:space="0" w:color="4472C4"/>
        </w:tcBorders>
      </w:tcPr>
    </w:tblStylePr>
    <w:tblStylePr w:type="firstCol">
      <w:rPr>
        <w:b/>
        <w:color w:val="404040"/>
      </w:rPr>
    </w:tblStylePr>
    <w:tblStylePr w:type="lastCol">
      <w:rPr>
        <w:b/>
        <w:color w:val="404040"/>
      </w:rPr>
    </w:tblStylePr>
    <w:tblStylePr w:type="firstRow">
      <w:rPr>
        <w:rFonts w:ascii="Arial" w:hAnsi="Arial"/>
        <w:b/>
        <w:color w:val="FFFFFF"/>
        <w:sz w:val="22"/>
      </w:rPr>
      <w:tcPr>
        <w:shd w:val="clear" w:color="auto" w:fill="4472C4"/>
      </w:tcPr>
    </w:tblStylePr>
    <w:tblStylePr w:type="lastRow">
      <w:rPr>
        <w:b/>
        <w:color w:val="404040"/>
      </w:rPr>
    </w:tblStylePr>
  </w:style>
  <w:style w:type="table" w:styleId="ListTable3-Accent2" w:customStyle="1">
    <w:name w:val="List Table 3 - Accent 2"/>
    <w:basedOn w:val="Tabelanormal"/>
    <w:uiPriority w:val="99"/>
    <w:tblPr>
      <w:tblStyleRowBandSize w:val="1"/>
      <w:tblBorders>
        <w:top w:val="single" w:sz="4" w:space="0" w:color="F4B184"/>
        <w:left w:val="single" w:sz="4" w:space="0" w:color="F4B184"/>
        <w:bottom w:val="single" w:sz="4" w:space="0" w:color="F4B184"/>
        <w:right w:val="single" w:sz="4" w:space="0" w:color="F4B184"/>
      </w:tblBorders>
    </w:tblPr>
    <w:tblStylePr w:type="band1Vert">
      <w:rPr>
        <w:rFonts w:ascii="Arial" w:hAnsi="Arial"/>
        <w:color w:val="404040"/>
        <w:sz w:val="22"/>
      </w:rPr>
      <w:tcPr>
        <w:tcBorders>
          <w:left w:val="single" w:sz="4" w:space="0" w:color="F4B184"/>
          <w:right w:val="single" w:sz="4" w:space="0" w:color="F4B184"/>
        </w:tcBorders>
      </w:tcPr>
    </w:tblStylePr>
    <w:tblStylePr w:type="band1Horz">
      <w:rPr>
        <w:rFonts w:ascii="Arial" w:hAnsi="Arial"/>
        <w:color w:val="404040"/>
        <w:sz w:val="22"/>
      </w:rPr>
      <w:tcPr>
        <w:tcBorders>
          <w:top w:val="single" w:sz="4" w:space="0" w:color="F4B184"/>
          <w:bottom w:val="single" w:sz="4" w:space="0" w:color="F4B184"/>
        </w:tcBorders>
      </w:tcPr>
    </w:tblStylePr>
    <w:tblStylePr w:type="firstCol">
      <w:rPr>
        <w:b/>
        <w:color w:val="404040"/>
      </w:rPr>
    </w:tblStylePr>
    <w:tblStylePr w:type="lastCol">
      <w:rPr>
        <w:b/>
        <w:color w:val="404040"/>
      </w:rPr>
    </w:tblStylePr>
    <w:tblStylePr w:type="firstRow">
      <w:rPr>
        <w:rFonts w:ascii="Arial" w:hAnsi="Arial"/>
        <w:b/>
        <w:color w:val="FFFFFF"/>
        <w:sz w:val="22"/>
      </w:rPr>
      <w:tcPr>
        <w:shd w:val="clear" w:color="auto" w:fill="F4B285"/>
      </w:tcPr>
    </w:tblStylePr>
    <w:tblStylePr w:type="lastRow">
      <w:rPr>
        <w:b/>
        <w:color w:val="404040"/>
      </w:rPr>
    </w:tblStylePr>
  </w:style>
  <w:style w:type="table" w:styleId="ListTable3-Accent3" w:customStyle="1">
    <w:name w:val="List Table 3 - Accent 3"/>
    <w:basedOn w:val="Tabelanormal"/>
    <w:uiPriority w:val="99"/>
    <w:tblPr>
      <w:tblStyleRowBandSize w:val="1"/>
      <w:tblBorders>
        <w:top w:val="single" w:sz="4" w:space="0" w:color="C9C9C9"/>
        <w:left w:val="single" w:sz="4" w:space="0" w:color="C9C9C9"/>
        <w:bottom w:val="single" w:sz="4" w:space="0" w:color="C9C9C9"/>
        <w:right w:val="single" w:sz="4" w:space="0" w:color="C9C9C9"/>
      </w:tblBorders>
    </w:tblPr>
    <w:tblStylePr w:type="band1Vert">
      <w:rPr>
        <w:rFonts w:ascii="Arial" w:hAnsi="Arial"/>
        <w:color w:val="404040"/>
        <w:sz w:val="22"/>
      </w:rPr>
      <w:tcPr>
        <w:tcBorders>
          <w:left w:val="single" w:sz="4" w:space="0" w:color="C9C9C9"/>
          <w:right w:val="single" w:sz="4" w:space="0" w:color="C9C9C9"/>
        </w:tcBorders>
      </w:tcPr>
    </w:tblStylePr>
    <w:tblStylePr w:type="band1Horz">
      <w:rPr>
        <w:rFonts w:ascii="Arial" w:hAnsi="Arial"/>
        <w:color w:val="404040"/>
        <w:sz w:val="22"/>
      </w:rPr>
      <w:tcPr>
        <w:tcBorders>
          <w:top w:val="single" w:sz="4" w:space="0" w:color="C9C9C9"/>
          <w:bottom w:val="single" w:sz="4" w:space="0" w:color="C9C9C9"/>
        </w:tcBorders>
      </w:tcPr>
    </w:tblStylePr>
    <w:tblStylePr w:type="firstCol">
      <w:rPr>
        <w:b/>
        <w:color w:val="404040"/>
      </w:rPr>
    </w:tblStylePr>
    <w:tblStylePr w:type="lastCol">
      <w:rPr>
        <w:b/>
        <w:color w:val="404040"/>
      </w:rPr>
    </w:tblStylePr>
    <w:tblStylePr w:type="firstRow">
      <w:rPr>
        <w:rFonts w:ascii="Arial" w:hAnsi="Arial"/>
        <w:b/>
        <w:color w:val="FFFFFF"/>
        <w:sz w:val="22"/>
      </w:rPr>
      <w:tcPr>
        <w:shd w:val="clear" w:color="auto" w:fill="C9C9C9"/>
      </w:tcPr>
    </w:tblStylePr>
    <w:tblStylePr w:type="lastRow">
      <w:rPr>
        <w:b/>
        <w:color w:val="404040"/>
      </w:rPr>
    </w:tblStylePr>
  </w:style>
  <w:style w:type="table" w:styleId="ListTable3-Accent4" w:customStyle="1">
    <w:name w:val="List Table 3 - Accent 4"/>
    <w:basedOn w:val="Tabelanormal"/>
    <w:uiPriority w:val="99"/>
    <w:tblPr>
      <w:tblStyleRowBandSize w:val="1"/>
      <w:tblBorders>
        <w:top w:val="single" w:sz="4" w:space="0" w:color="FFD865"/>
        <w:left w:val="single" w:sz="4" w:space="0" w:color="FFD865"/>
        <w:bottom w:val="single" w:sz="4" w:space="0" w:color="FFD865"/>
        <w:right w:val="single" w:sz="4" w:space="0" w:color="FFD865"/>
      </w:tblBorders>
    </w:tblPr>
    <w:tblStylePr w:type="band1Vert">
      <w:rPr>
        <w:rFonts w:ascii="Arial" w:hAnsi="Arial"/>
        <w:color w:val="404040"/>
        <w:sz w:val="22"/>
      </w:rPr>
      <w:tcPr>
        <w:tcBorders>
          <w:left w:val="single" w:sz="4" w:space="0" w:color="FFD865"/>
          <w:right w:val="single" w:sz="4" w:space="0" w:color="FFD865"/>
        </w:tcBorders>
      </w:tcPr>
    </w:tblStylePr>
    <w:tblStylePr w:type="band1Horz">
      <w:rPr>
        <w:rFonts w:ascii="Arial" w:hAnsi="Arial"/>
        <w:color w:val="404040"/>
        <w:sz w:val="22"/>
      </w:rPr>
      <w:tcPr>
        <w:tcBorders>
          <w:top w:val="single" w:sz="4" w:space="0" w:color="FFD865"/>
          <w:bottom w:val="single" w:sz="4" w:space="0" w:color="FFD865"/>
        </w:tcBorders>
      </w:tcPr>
    </w:tblStylePr>
    <w:tblStylePr w:type="firstCol">
      <w:rPr>
        <w:b/>
        <w:color w:val="404040"/>
      </w:rPr>
    </w:tblStylePr>
    <w:tblStylePr w:type="lastCol">
      <w:rPr>
        <w:b/>
        <w:color w:val="404040"/>
      </w:rPr>
    </w:tblStylePr>
    <w:tblStylePr w:type="firstRow">
      <w:rPr>
        <w:rFonts w:ascii="Arial" w:hAnsi="Arial"/>
        <w:b/>
        <w:color w:val="FFFFFF"/>
        <w:sz w:val="22"/>
      </w:rPr>
      <w:tcPr>
        <w:shd w:val="clear" w:color="auto" w:fill="FFD965"/>
      </w:tcPr>
    </w:tblStylePr>
    <w:tblStylePr w:type="lastRow">
      <w:rPr>
        <w:b/>
        <w:color w:val="404040"/>
      </w:rPr>
    </w:tblStylePr>
  </w:style>
  <w:style w:type="table" w:styleId="ListTable3-Accent5" w:customStyle="1">
    <w:name w:val="List Table 3 - Accent 5"/>
    <w:basedOn w:val="Tabelanormal"/>
    <w:uiPriority w:val="99"/>
    <w:tblPr>
      <w:tblStyleRowBandSize w:val="1"/>
      <w:tblBorders>
        <w:top w:val="single" w:sz="4" w:space="0" w:color="9BC2E5"/>
        <w:left w:val="single" w:sz="4" w:space="0" w:color="9BC2E5"/>
        <w:bottom w:val="single" w:sz="4" w:space="0" w:color="9BC2E5"/>
        <w:right w:val="single" w:sz="4" w:space="0" w:color="9BC2E5"/>
      </w:tblBorders>
    </w:tblPr>
    <w:tblStylePr w:type="band1Vert">
      <w:rPr>
        <w:rFonts w:ascii="Arial" w:hAnsi="Arial"/>
        <w:color w:val="404040"/>
        <w:sz w:val="22"/>
      </w:rPr>
      <w:tcPr>
        <w:tcBorders>
          <w:left w:val="single" w:sz="4" w:space="0" w:color="9BC2E5"/>
          <w:right w:val="single" w:sz="4" w:space="0" w:color="9BC2E5"/>
        </w:tcBorders>
      </w:tcPr>
    </w:tblStylePr>
    <w:tblStylePr w:type="band1Horz">
      <w:rPr>
        <w:rFonts w:ascii="Arial" w:hAnsi="Arial"/>
        <w:color w:val="404040"/>
        <w:sz w:val="22"/>
      </w:rPr>
      <w:tcPr>
        <w:tcBorders>
          <w:top w:val="single" w:sz="4" w:space="0" w:color="9BC2E5"/>
          <w:bottom w:val="single" w:sz="4" w:space="0" w:color="9BC2E5"/>
        </w:tcBorders>
      </w:tcPr>
    </w:tblStylePr>
    <w:tblStylePr w:type="firstCol">
      <w:rPr>
        <w:b/>
        <w:color w:val="404040"/>
      </w:rPr>
    </w:tblStylePr>
    <w:tblStylePr w:type="lastCol">
      <w:rPr>
        <w:b/>
        <w:color w:val="404040"/>
      </w:rPr>
    </w:tblStylePr>
    <w:tblStylePr w:type="firstRow">
      <w:rPr>
        <w:rFonts w:ascii="Arial" w:hAnsi="Arial"/>
        <w:b/>
        <w:color w:val="FFFFFF"/>
        <w:sz w:val="22"/>
      </w:rPr>
      <w:tcPr>
        <w:shd w:val="clear" w:color="auto" w:fill="9CC3E6"/>
      </w:tcPr>
    </w:tblStylePr>
    <w:tblStylePr w:type="lastRow">
      <w:rPr>
        <w:b/>
        <w:color w:val="404040"/>
      </w:rPr>
    </w:tblStylePr>
  </w:style>
  <w:style w:type="table" w:styleId="ListTable3-Accent6" w:customStyle="1">
    <w:name w:val="List Table 3 - Accent 6"/>
    <w:basedOn w:val="Tabelanormal"/>
    <w:uiPriority w:val="99"/>
    <w:tblPr>
      <w:tblStyleRowBandSize w:val="1"/>
      <w:tblBorders>
        <w:top w:val="single" w:sz="4" w:space="0" w:color="A9D08E"/>
        <w:left w:val="single" w:sz="4" w:space="0" w:color="A9D08E"/>
        <w:bottom w:val="single" w:sz="4" w:space="0" w:color="A9D08E"/>
        <w:right w:val="single" w:sz="4" w:space="0" w:color="A9D08E"/>
      </w:tblBorders>
    </w:tblPr>
    <w:tblStylePr w:type="band1Vert">
      <w:rPr>
        <w:rFonts w:ascii="Arial" w:hAnsi="Arial"/>
        <w:color w:val="404040"/>
        <w:sz w:val="22"/>
      </w:rPr>
      <w:tcPr>
        <w:tcBorders>
          <w:left w:val="single" w:sz="4" w:space="0" w:color="A9D08E"/>
          <w:right w:val="single" w:sz="4" w:space="0" w:color="A9D08E"/>
        </w:tcBorders>
      </w:tcPr>
    </w:tblStylePr>
    <w:tblStylePr w:type="band1Horz">
      <w:rPr>
        <w:rFonts w:ascii="Arial" w:hAnsi="Arial"/>
        <w:color w:val="404040"/>
        <w:sz w:val="22"/>
      </w:rPr>
      <w:tcPr>
        <w:tcBorders>
          <w:top w:val="single" w:sz="4" w:space="0" w:color="A9D08E"/>
          <w:bottom w:val="single" w:sz="4" w:space="0" w:color="A9D08E"/>
        </w:tcBorders>
      </w:tcPr>
    </w:tblStylePr>
    <w:tblStylePr w:type="firstCol">
      <w:rPr>
        <w:b/>
        <w:color w:val="404040"/>
      </w:rPr>
    </w:tblStylePr>
    <w:tblStylePr w:type="lastCol">
      <w:rPr>
        <w:b/>
        <w:color w:val="404040"/>
      </w:rPr>
    </w:tblStylePr>
    <w:tblStylePr w:type="firstRow">
      <w:rPr>
        <w:rFonts w:ascii="Arial" w:hAnsi="Arial"/>
        <w:b/>
        <w:color w:val="FFFFFF"/>
        <w:sz w:val="22"/>
      </w:rPr>
      <w:tcPr>
        <w:shd w:val="clear" w:color="auto" w:fill="A9D18F"/>
      </w:tcPr>
    </w:tblStylePr>
    <w:tblStylePr w:type="lastRow">
      <w:rPr>
        <w:b/>
        <w:color w:val="404040"/>
      </w:rPr>
    </w:tblStylePr>
  </w:style>
  <w:style w:type="table" w:styleId="TabeladeLista4">
    <w:name w:val="List Table 4"/>
    <w:basedOn w:val="Tabelanormal"/>
    <w:uiPriority w:val="99"/>
    <w:tblPr>
      <w:tblStyleRow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band1Vert">
      <w:rPr>
        <w:rFonts w:ascii="Arial" w:hAnsi="Arial"/>
        <w:color w:val="404040"/>
        <w:sz w:val="22"/>
      </w:rPr>
      <w:tcPr>
        <w:shd w:val="clear" w:color="auto" w:fill="BFBFBF"/>
      </w:tcPr>
    </w:tblStylePr>
    <w:tblStylePr w:type="band1Horz">
      <w:rPr>
        <w:rFonts w:ascii="Arial" w:hAnsi="Arial"/>
        <w:color w:val="404040"/>
        <w:sz w:val="22"/>
      </w:rPr>
      <w:tcPr>
        <w:shd w:val="clear" w:color="auto" w:fill="BFBFBF"/>
      </w:tcPr>
    </w:tblStylePr>
    <w:tblStylePr w:type="firstCol">
      <w:rPr>
        <w:b/>
        <w:color w:val="404040"/>
      </w:rPr>
    </w:tblStylePr>
    <w:tblStylePr w:type="lastCol">
      <w:rPr>
        <w:b/>
        <w:color w:val="404040"/>
      </w:rPr>
    </w:tblStylePr>
    <w:tblStylePr w:type="firstRow">
      <w:rPr>
        <w:rFonts w:ascii="Arial" w:hAnsi="Arial"/>
        <w:b/>
        <w:color w:val="FFFFFF"/>
        <w:sz w:val="22"/>
      </w:rPr>
      <w:tcPr>
        <w:shd w:val="clear" w:color="auto" w:fill="000000"/>
      </w:tcPr>
    </w:tblStylePr>
    <w:tblStylePr w:type="lastRow">
      <w:rPr>
        <w:b/>
        <w:color w:val="404040"/>
      </w:rPr>
    </w:tblStylePr>
  </w:style>
  <w:style w:type="table" w:styleId="ListTable4-Accent1" w:customStyle="1">
    <w:name w:val="List Table 4 - Accent 1"/>
    <w:basedOn w:val="Tabelanormal"/>
    <w:uiPriority w:val="99"/>
    <w:tblPr>
      <w:tblStyleRowBandSize w:val="1"/>
      <w:tblBorders>
        <w:top w:val="single" w:sz="4" w:space="0" w:color="95AFDD"/>
        <w:left w:val="single" w:sz="4" w:space="0" w:color="95AFDD"/>
        <w:bottom w:val="single" w:sz="4" w:space="0" w:color="95AFDD"/>
        <w:right w:val="single" w:sz="4" w:space="0" w:color="95AFDD"/>
        <w:insideH w:val="single" w:sz="4" w:space="0" w:color="95AFDD"/>
      </w:tblBorders>
    </w:tblPr>
    <w:tblStylePr w:type="band1Vert">
      <w:rPr>
        <w:rFonts w:ascii="Arial" w:hAnsi="Arial"/>
        <w:color w:val="404040"/>
        <w:sz w:val="22"/>
      </w:rPr>
      <w:tcPr>
        <w:shd w:val="clear" w:color="auto" w:fill="D0DCF0"/>
      </w:tcPr>
    </w:tblStylePr>
    <w:tblStylePr w:type="band1Horz">
      <w:rPr>
        <w:rFonts w:ascii="Arial" w:hAnsi="Arial"/>
        <w:color w:val="404040"/>
        <w:sz w:val="22"/>
      </w:rPr>
      <w:tcPr>
        <w:shd w:val="clear" w:color="auto" w:fill="D0DCF0"/>
      </w:tcPr>
    </w:tblStylePr>
    <w:tblStylePr w:type="firstCol">
      <w:rPr>
        <w:b/>
        <w:color w:val="404040"/>
      </w:rPr>
    </w:tblStylePr>
    <w:tblStylePr w:type="lastCol">
      <w:rPr>
        <w:b/>
        <w:color w:val="404040"/>
      </w:rPr>
    </w:tblStylePr>
    <w:tblStylePr w:type="firstRow">
      <w:rPr>
        <w:rFonts w:ascii="Arial" w:hAnsi="Arial"/>
        <w:b/>
        <w:color w:val="FFFFFF"/>
        <w:sz w:val="22"/>
      </w:rPr>
      <w:tcPr>
        <w:shd w:val="clear" w:color="auto" w:fill="4472C4"/>
      </w:tcPr>
    </w:tblStylePr>
    <w:tblStylePr w:type="lastRow">
      <w:rPr>
        <w:b/>
        <w:color w:val="404040"/>
      </w:rPr>
    </w:tblStylePr>
  </w:style>
  <w:style w:type="table" w:styleId="ListTable4-Accent2" w:customStyle="1">
    <w:name w:val="List Table 4 - Accent 2"/>
    <w:basedOn w:val="Tabelanormal"/>
    <w:uiPriority w:val="99"/>
    <w:tblPr>
      <w:tblStyleRowBandSize w:val="1"/>
      <w:tblBorders>
        <w:top w:val="single" w:sz="4" w:space="0" w:color="F4B58A"/>
        <w:left w:val="single" w:sz="4" w:space="0" w:color="F4B58A"/>
        <w:bottom w:val="single" w:sz="4" w:space="0" w:color="F4B58A"/>
        <w:right w:val="single" w:sz="4" w:space="0" w:color="F4B58A"/>
        <w:insideH w:val="single" w:sz="4" w:space="0" w:color="F4B58A"/>
      </w:tblBorders>
    </w:tblPr>
    <w:tblStylePr w:type="band1Vert">
      <w:rPr>
        <w:rFonts w:ascii="Arial" w:hAnsi="Arial"/>
        <w:color w:val="404040"/>
        <w:sz w:val="22"/>
      </w:rPr>
      <w:tcPr>
        <w:shd w:val="clear" w:color="auto" w:fill="FADECB"/>
      </w:tcPr>
    </w:tblStylePr>
    <w:tblStylePr w:type="band1Horz">
      <w:rPr>
        <w:rFonts w:ascii="Arial" w:hAnsi="Arial"/>
        <w:color w:val="404040"/>
        <w:sz w:val="22"/>
      </w:rPr>
      <w:tcPr>
        <w:shd w:val="clear" w:color="auto" w:fill="FADECB"/>
      </w:tcPr>
    </w:tblStylePr>
    <w:tblStylePr w:type="firstCol">
      <w:rPr>
        <w:b/>
        <w:color w:val="404040"/>
      </w:rPr>
    </w:tblStylePr>
    <w:tblStylePr w:type="lastCol">
      <w:rPr>
        <w:b/>
        <w:color w:val="404040"/>
      </w:rPr>
    </w:tblStylePr>
    <w:tblStylePr w:type="firstRow">
      <w:rPr>
        <w:rFonts w:ascii="Arial" w:hAnsi="Arial"/>
        <w:b/>
        <w:color w:val="FFFFFF"/>
        <w:sz w:val="22"/>
      </w:rPr>
      <w:tcPr>
        <w:shd w:val="clear" w:color="auto" w:fill="ED7D31"/>
      </w:tcPr>
    </w:tblStylePr>
    <w:tblStylePr w:type="lastRow">
      <w:rPr>
        <w:b/>
        <w:color w:val="404040"/>
      </w:rPr>
    </w:tblStylePr>
  </w:style>
  <w:style w:type="table" w:styleId="ListTable4-Accent3" w:customStyle="1">
    <w:name w:val="List Table 4 - Accent 3"/>
    <w:basedOn w:val="Tabelanormal"/>
    <w:uiPriority w:val="99"/>
    <w:tblPr>
      <w:tblStyleRowBandSize w:val="1"/>
      <w:tblBorders>
        <w:top w:val="single" w:sz="4" w:space="0" w:color="CCCCCC"/>
        <w:left w:val="single" w:sz="4" w:space="0" w:color="CCCCCC"/>
        <w:bottom w:val="single" w:sz="4" w:space="0" w:color="CCCCCC"/>
        <w:right w:val="single" w:sz="4" w:space="0" w:color="CCCCCC"/>
        <w:insideH w:val="single" w:sz="4" w:space="0" w:color="CCCCCC"/>
      </w:tblBorders>
    </w:tblPr>
    <w:tblStylePr w:type="band1Vert">
      <w:rPr>
        <w:rFonts w:ascii="Arial" w:hAnsi="Arial"/>
        <w:color w:val="404040"/>
        <w:sz w:val="22"/>
      </w:rPr>
      <w:tcPr>
        <w:shd w:val="clear" w:color="auto" w:fill="E8E8E8"/>
      </w:tcPr>
    </w:tblStylePr>
    <w:tblStylePr w:type="band1Horz">
      <w:rPr>
        <w:rFonts w:ascii="Arial" w:hAnsi="Arial"/>
        <w:color w:val="404040"/>
        <w:sz w:val="22"/>
      </w:rPr>
      <w:tcPr>
        <w:shd w:val="clear" w:color="auto" w:fill="E8E8E8"/>
      </w:tcPr>
    </w:tblStylePr>
    <w:tblStylePr w:type="firstCol">
      <w:rPr>
        <w:b/>
        <w:color w:val="404040"/>
      </w:rPr>
    </w:tblStylePr>
    <w:tblStylePr w:type="lastCol">
      <w:rPr>
        <w:b/>
        <w:color w:val="404040"/>
      </w:rPr>
    </w:tblStylePr>
    <w:tblStylePr w:type="firstRow">
      <w:rPr>
        <w:rFonts w:ascii="Arial" w:hAnsi="Arial"/>
        <w:b/>
        <w:color w:val="FFFFFF"/>
        <w:sz w:val="22"/>
      </w:rPr>
      <w:tcPr>
        <w:shd w:val="clear" w:color="auto" w:fill="A5A5A5"/>
      </w:tcPr>
    </w:tblStylePr>
    <w:tblStylePr w:type="lastRow">
      <w:rPr>
        <w:b/>
        <w:color w:val="404040"/>
      </w:rPr>
    </w:tblStylePr>
  </w:style>
  <w:style w:type="table" w:styleId="ListTable4-Accent4" w:customStyle="1">
    <w:name w:val="List Table 4 - Accent 4"/>
    <w:basedOn w:val="Tabelanormal"/>
    <w:uiPriority w:val="99"/>
    <w:tblPr>
      <w:tblStyleRowBandSize w:val="1"/>
      <w:tblBorders>
        <w:top w:val="single" w:sz="4" w:space="0" w:color="FFDB6F"/>
        <w:left w:val="single" w:sz="4" w:space="0" w:color="FFDB6F"/>
        <w:bottom w:val="single" w:sz="4" w:space="0" w:color="FFDB6F"/>
        <w:right w:val="single" w:sz="4" w:space="0" w:color="FFDB6F"/>
        <w:insideH w:val="single" w:sz="4" w:space="0" w:color="FFDB6F"/>
      </w:tblBorders>
    </w:tblPr>
    <w:tblStylePr w:type="band1Vert">
      <w:rPr>
        <w:rFonts w:ascii="Arial" w:hAnsi="Arial"/>
        <w:color w:val="404040"/>
        <w:sz w:val="22"/>
      </w:rPr>
      <w:tcPr>
        <w:shd w:val="clear" w:color="auto" w:fill="FFEFBF"/>
      </w:tcPr>
    </w:tblStylePr>
    <w:tblStylePr w:type="band1Horz">
      <w:rPr>
        <w:rFonts w:ascii="Arial" w:hAnsi="Arial"/>
        <w:color w:val="404040"/>
        <w:sz w:val="22"/>
      </w:rPr>
      <w:tcPr>
        <w:shd w:val="clear" w:color="auto" w:fill="FFEFBF"/>
      </w:tcPr>
    </w:tblStylePr>
    <w:tblStylePr w:type="firstCol">
      <w:rPr>
        <w:b/>
        <w:color w:val="404040"/>
      </w:rPr>
    </w:tblStylePr>
    <w:tblStylePr w:type="lastCol">
      <w:rPr>
        <w:b/>
        <w:color w:val="404040"/>
      </w:rPr>
    </w:tblStylePr>
    <w:tblStylePr w:type="firstRow">
      <w:rPr>
        <w:rFonts w:ascii="Arial" w:hAnsi="Arial"/>
        <w:b/>
        <w:color w:val="FFFFFF"/>
        <w:sz w:val="22"/>
      </w:rPr>
      <w:tcPr>
        <w:shd w:val="clear" w:color="auto" w:fill="FFC000"/>
      </w:tcPr>
    </w:tblStylePr>
    <w:tblStylePr w:type="lastRow">
      <w:rPr>
        <w:b/>
        <w:color w:val="404040"/>
      </w:rPr>
    </w:tblStylePr>
  </w:style>
  <w:style w:type="table" w:styleId="ListTable4-Accent5" w:customStyle="1">
    <w:name w:val="List Table 4 - Accent 5"/>
    <w:basedOn w:val="Tabelanormal"/>
    <w:uiPriority w:val="99"/>
    <w:tblPr>
      <w:tblStyleRowBandSize w:val="1"/>
      <w:tblBorders>
        <w:top w:val="single" w:sz="4" w:space="0" w:color="A2C6E7"/>
        <w:left w:val="single" w:sz="4" w:space="0" w:color="A2C6E7"/>
        <w:bottom w:val="single" w:sz="4" w:space="0" w:color="A2C6E7"/>
        <w:right w:val="single" w:sz="4" w:space="0" w:color="A2C6E7"/>
        <w:insideH w:val="single" w:sz="4" w:space="0" w:color="A2C6E7"/>
      </w:tblBorders>
    </w:tblPr>
    <w:tblStylePr w:type="band1Vert">
      <w:rPr>
        <w:rFonts w:ascii="Arial" w:hAnsi="Arial"/>
        <w:color w:val="404040"/>
        <w:sz w:val="22"/>
      </w:rPr>
      <w:tcPr>
        <w:shd w:val="clear" w:color="auto" w:fill="D6E6F4"/>
      </w:tcPr>
    </w:tblStylePr>
    <w:tblStylePr w:type="band1Horz">
      <w:rPr>
        <w:rFonts w:ascii="Arial" w:hAnsi="Arial"/>
        <w:color w:val="404040"/>
        <w:sz w:val="22"/>
      </w:rPr>
      <w:tcPr>
        <w:shd w:val="clear" w:color="auto" w:fill="D6E6F4"/>
      </w:tcPr>
    </w:tblStylePr>
    <w:tblStylePr w:type="firstCol">
      <w:rPr>
        <w:b/>
        <w:color w:val="404040"/>
      </w:rPr>
    </w:tblStylePr>
    <w:tblStylePr w:type="lastCol">
      <w:rPr>
        <w:b/>
        <w:color w:val="404040"/>
      </w:rPr>
    </w:tblStylePr>
    <w:tblStylePr w:type="firstRow">
      <w:rPr>
        <w:rFonts w:ascii="Arial" w:hAnsi="Arial"/>
        <w:b/>
        <w:color w:val="FFFFFF"/>
        <w:sz w:val="22"/>
      </w:rPr>
      <w:tcPr>
        <w:shd w:val="clear" w:color="auto" w:fill="5B9BD5"/>
      </w:tcPr>
    </w:tblStylePr>
    <w:tblStylePr w:type="lastRow">
      <w:rPr>
        <w:b/>
        <w:color w:val="404040"/>
      </w:rPr>
    </w:tblStylePr>
  </w:style>
  <w:style w:type="table" w:styleId="ListTable4-Accent6" w:customStyle="1">
    <w:name w:val="List Table 4 - Accent 6"/>
    <w:basedOn w:val="Tabelanormal"/>
    <w:uiPriority w:val="99"/>
    <w:tblPr>
      <w:tblStyleRowBandSize w:val="1"/>
      <w:tblBorders>
        <w:top w:val="single" w:sz="4" w:space="0" w:color="ADD394"/>
        <w:left w:val="single" w:sz="4" w:space="0" w:color="ADD394"/>
        <w:bottom w:val="single" w:sz="4" w:space="0" w:color="ADD394"/>
        <w:right w:val="single" w:sz="4" w:space="0" w:color="ADD394"/>
        <w:insideH w:val="single" w:sz="4" w:space="0" w:color="ADD394"/>
      </w:tblBorders>
    </w:tblPr>
    <w:tblStylePr w:type="band1Vert">
      <w:rPr>
        <w:rFonts w:ascii="Arial" w:hAnsi="Arial"/>
        <w:color w:val="404040"/>
        <w:sz w:val="22"/>
      </w:rPr>
      <w:tcPr>
        <w:shd w:val="clear" w:color="auto" w:fill="DBECD0"/>
      </w:tcPr>
    </w:tblStylePr>
    <w:tblStylePr w:type="band1Horz">
      <w:rPr>
        <w:rFonts w:ascii="Arial" w:hAnsi="Arial"/>
        <w:color w:val="404040"/>
        <w:sz w:val="22"/>
      </w:rPr>
      <w:tcPr>
        <w:shd w:val="clear" w:color="auto" w:fill="DBECD0"/>
      </w:tcPr>
    </w:tblStylePr>
    <w:tblStylePr w:type="firstCol">
      <w:rPr>
        <w:b/>
        <w:color w:val="404040"/>
      </w:rPr>
    </w:tblStylePr>
    <w:tblStylePr w:type="lastCol">
      <w:rPr>
        <w:b/>
        <w:color w:val="404040"/>
      </w:rPr>
    </w:tblStylePr>
    <w:tblStylePr w:type="firstRow">
      <w:rPr>
        <w:rFonts w:ascii="Arial" w:hAnsi="Arial"/>
        <w:b/>
        <w:color w:val="FFFFFF"/>
        <w:sz w:val="22"/>
      </w:rPr>
      <w:tcPr>
        <w:shd w:val="clear" w:color="auto" w:fill="70AD47"/>
      </w:tcPr>
    </w:tblStylePr>
    <w:tblStylePr w:type="lastRow">
      <w:rPr>
        <w:b/>
        <w:color w:val="404040"/>
      </w:rPr>
    </w:tblStylePr>
  </w:style>
  <w:style w:type="table" w:styleId="TabeladeLista5Escura">
    <w:name w:val="List Table 5 Dark"/>
    <w:basedOn w:val="Tabelanormal"/>
    <w:uiPriority w:val="99"/>
    <w:tblPr>
      <w:tblStyleRowBandSize w:val="1"/>
      <w:tblBorders>
        <w:top w:val="single" w:sz="32" w:space="0" w:color="7F7F7F"/>
        <w:left w:val="single" w:sz="32" w:space="0" w:color="7F7F7F"/>
        <w:bottom w:val="single" w:sz="32" w:space="0" w:color="7F7F7F"/>
        <w:right w:val="single" w:sz="32" w:space="0" w:color="7F7F7F"/>
      </w:tblBorders>
    </w:tblPr>
    <w:tblStylePr w:type="band1Vert">
      <w:tcPr>
        <w:tcBorders>
          <w:left w:val="single" w:sz="4" w:space="0" w:color="FFFFFF"/>
          <w:right w:val="single" w:sz="4" w:space="0" w:color="FFFFFF"/>
        </w:tcBorders>
        <w:shd w:val="clear" w:color="auto" w:fill="7F7F7F"/>
      </w:tcPr>
    </w:tblStylePr>
    <w:tblStylePr w:type="band2Vert">
      <w:tcPr>
        <w:tcBorders>
          <w:left w:val="single" w:sz="4" w:space="0" w:color="FFFFFF"/>
          <w:right w:val="single" w:sz="4" w:space="0" w:color="FFFFFF"/>
        </w:tcBorders>
      </w:tcPr>
    </w:tblStylePr>
    <w:tblStylePr w:type="band1Horz">
      <w:tcPr>
        <w:tcBorders>
          <w:top w:val="single" w:sz="4" w:space="0" w:color="FFFFFF"/>
          <w:bottom w:val="single" w:sz="4" w:space="0" w:color="FFFFFF"/>
        </w:tcBorders>
        <w:shd w:val="clear" w:color="auto" w:fill="7F7F7F"/>
      </w:tcPr>
    </w:tblStylePr>
    <w:tblStylePr w:type="band2Horz">
      <w:tcPr>
        <w:tcBorders>
          <w:top w:val="single" w:sz="4" w:space="0" w:color="FFFFFF"/>
          <w:bottom w:val="single" w:sz="4" w:space="0" w:color="FFFFFF"/>
        </w:tcBorders>
        <w:shd w:val="clear" w:color="auto" w:fill="7F7F7F"/>
      </w:tcPr>
    </w:tblStylePr>
    <w:tblStylePr w:type="firstCol">
      <w:rPr>
        <w:rFonts w:ascii="Arial" w:hAnsi="Arial"/>
        <w:b/>
        <w:color w:val="FFFFFF"/>
        <w:sz w:val="22"/>
      </w:rPr>
      <w:tcPr>
        <w:tcBorders>
          <w:left w:val="single" w:sz="32" w:space="0" w:color="7F7F7F"/>
          <w:right w:val="single" w:sz="4" w:space="0" w:color="FFFFFF"/>
        </w:tcBorders>
      </w:tcPr>
    </w:tblStylePr>
    <w:tblStylePr w:type="lastCol">
      <w:tcPr>
        <w:tcBorders>
          <w:left w:val="single" w:sz="4" w:space="0" w:color="FFFFFF"/>
          <w:right w:val="single" w:sz="32" w:space="0" w:color="7F7F7F"/>
        </w:tcBorders>
      </w:tcPr>
    </w:tblStylePr>
    <w:tblStylePr w:type="firstRow">
      <w:rPr>
        <w:rFonts w:ascii="Arial" w:hAnsi="Arial"/>
        <w:b/>
        <w:color w:val="FFFFFF"/>
        <w:sz w:val="22"/>
      </w:rPr>
      <w:tcPr>
        <w:tcBorders>
          <w:top w:val="single" w:sz="32" w:space="0" w:color="7F7F7F"/>
          <w:bottom w:val="single" w:sz="12" w:space="0" w:color="FFFFFF"/>
        </w:tcBorders>
        <w:shd w:val="clear" w:color="auto" w:fill="7F7F7F"/>
      </w:tcPr>
    </w:tblStylePr>
    <w:tblStylePr w:type="lastRow">
      <w:rPr>
        <w:rFonts w:ascii="Arial" w:hAnsi="Arial"/>
        <w:b/>
        <w:color w:val="FFFFFF"/>
        <w:sz w:val="22"/>
      </w:rPr>
    </w:tblStylePr>
  </w:style>
  <w:style w:type="table" w:styleId="ListTable5Dark-Accent1" w:customStyle="1">
    <w:name w:val="List Table 5 Dark - Accent 1"/>
    <w:basedOn w:val="Tabelanormal"/>
    <w:uiPriority w:val="99"/>
    <w:tblPr>
      <w:tblStyleRowBandSize w:val="1"/>
      <w:tblBorders>
        <w:top w:val="single" w:sz="32" w:space="0" w:color="4472C4"/>
        <w:left w:val="single" w:sz="32" w:space="0" w:color="4472C4"/>
        <w:bottom w:val="single" w:sz="32" w:space="0" w:color="4472C4"/>
        <w:right w:val="single" w:sz="32" w:space="0" w:color="4472C4"/>
      </w:tblBorders>
    </w:tblPr>
    <w:tblStylePr w:type="band1Vert">
      <w:tcPr>
        <w:tcBorders>
          <w:left w:val="single" w:sz="4" w:space="0" w:color="FFFFFF"/>
          <w:right w:val="single" w:sz="4" w:space="0" w:color="FFFFFF"/>
        </w:tcBorders>
        <w:shd w:val="clear" w:color="auto" w:fill="4472C4"/>
      </w:tcPr>
    </w:tblStylePr>
    <w:tblStylePr w:type="band2Vert">
      <w:tcPr>
        <w:tcBorders>
          <w:left w:val="single" w:sz="4" w:space="0" w:color="FFFFFF"/>
          <w:right w:val="single" w:sz="4" w:space="0" w:color="FFFFFF"/>
        </w:tcBorders>
      </w:tcPr>
    </w:tblStylePr>
    <w:tblStylePr w:type="band1Horz">
      <w:tcPr>
        <w:tcBorders>
          <w:top w:val="single" w:sz="4" w:space="0" w:color="FFFFFF"/>
          <w:bottom w:val="single" w:sz="4" w:space="0" w:color="FFFFFF"/>
        </w:tcBorders>
        <w:shd w:val="clear" w:color="auto" w:fill="4472C4"/>
      </w:tcPr>
    </w:tblStylePr>
    <w:tblStylePr w:type="band2Horz">
      <w:tcPr>
        <w:tcBorders>
          <w:top w:val="single" w:sz="4" w:space="0" w:color="FFFFFF"/>
          <w:bottom w:val="single" w:sz="4" w:space="0" w:color="FFFFFF"/>
        </w:tcBorders>
        <w:shd w:val="clear" w:color="auto" w:fill="4472C4"/>
      </w:tcPr>
    </w:tblStylePr>
    <w:tblStylePr w:type="firstCol">
      <w:rPr>
        <w:rFonts w:ascii="Arial" w:hAnsi="Arial"/>
        <w:b/>
        <w:color w:val="FFFFFF"/>
        <w:sz w:val="22"/>
      </w:rPr>
      <w:tcPr>
        <w:tcBorders>
          <w:left w:val="single" w:sz="32" w:space="0" w:color="4472C4"/>
          <w:right w:val="single" w:sz="4" w:space="0" w:color="FFFFFF"/>
        </w:tcBorders>
      </w:tcPr>
    </w:tblStylePr>
    <w:tblStylePr w:type="lastCol">
      <w:tcPr>
        <w:tcBorders>
          <w:left w:val="single" w:sz="4" w:space="0" w:color="FFFFFF"/>
          <w:right w:val="single" w:sz="32" w:space="0" w:color="4472C4"/>
        </w:tcBorders>
      </w:tcPr>
    </w:tblStylePr>
    <w:tblStylePr w:type="firstRow">
      <w:rPr>
        <w:rFonts w:ascii="Arial" w:hAnsi="Arial"/>
        <w:b/>
        <w:color w:val="FFFFFF"/>
        <w:sz w:val="22"/>
      </w:rPr>
      <w:tcPr>
        <w:tcBorders>
          <w:top w:val="single" w:sz="32" w:space="0" w:color="4472C4"/>
          <w:bottom w:val="single" w:sz="12" w:space="0" w:color="FFFFFF"/>
        </w:tcBorders>
        <w:shd w:val="clear" w:color="auto" w:fill="4472C4"/>
      </w:tcPr>
    </w:tblStylePr>
    <w:tblStylePr w:type="lastRow">
      <w:rPr>
        <w:rFonts w:ascii="Arial" w:hAnsi="Arial"/>
        <w:b/>
        <w:color w:val="FFFFFF"/>
        <w:sz w:val="22"/>
      </w:rPr>
    </w:tblStylePr>
  </w:style>
  <w:style w:type="table" w:styleId="ListTable5Dark-Accent2" w:customStyle="1">
    <w:name w:val="List Table 5 Dark - Accent 2"/>
    <w:basedOn w:val="Tabelanormal"/>
    <w:uiPriority w:val="99"/>
    <w:tblPr>
      <w:tblStyleRowBandSize w:val="1"/>
      <w:tblBorders>
        <w:top w:val="single" w:sz="32" w:space="0" w:color="F4B184"/>
        <w:left w:val="single" w:sz="32" w:space="0" w:color="F4B184"/>
        <w:bottom w:val="single" w:sz="32" w:space="0" w:color="F4B184"/>
        <w:right w:val="single" w:sz="32" w:space="0" w:color="F4B184"/>
      </w:tblBorders>
    </w:tblPr>
    <w:tblStylePr w:type="band1Vert">
      <w:tcPr>
        <w:tcBorders>
          <w:left w:val="single" w:sz="4" w:space="0" w:color="FFFFFF"/>
          <w:right w:val="single" w:sz="4" w:space="0" w:color="FFFFFF"/>
        </w:tcBorders>
        <w:shd w:val="clear" w:color="auto" w:fill="F4B285"/>
      </w:tcPr>
    </w:tblStylePr>
    <w:tblStylePr w:type="band2Vert">
      <w:tcPr>
        <w:tcBorders>
          <w:left w:val="single" w:sz="4" w:space="0" w:color="FFFFFF"/>
          <w:right w:val="single" w:sz="4" w:space="0" w:color="FFFFFF"/>
        </w:tcBorders>
      </w:tcPr>
    </w:tblStylePr>
    <w:tblStylePr w:type="band1Horz">
      <w:tcPr>
        <w:tcBorders>
          <w:top w:val="single" w:sz="4" w:space="0" w:color="FFFFFF"/>
          <w:bottom w:val="single" w:sz="4" w:space="0" w:color="FFFFFF"/>
        </w:tcBorders>
        <w:shd w:val="clear" w:color="auto" w:fill="F4B285"/>
      </w:tcPr>
    </w:tblStylePr>
    <w:tblStylePr w:type="band2Horz">
      <w:tcPr>
        <w:tcBorders>
          <w:top w:val="single" w:sz="4" w:space="0" w:color="FFFFFF"/>
          <w:bottom w:val="single" w:sz="4" w:space="0" w:color="FFFFFF"/>
        </w:tcBorders>
        <w:shd w:val="clear" w:color="auto" w:fill="F4B285"/>
      </w:tcPr>
    </w:tblStylePr>
    <w:tblStylePr w:type="firstCol">
      <w:rPr>
        <w:rFonts w:ascii="Arial" w:hAnsi="Arial"/>
        <w:b/>
        <w:color w:val="FFFFFF"/>
        <w:sz w:val="22"/>
      </w:rPr>
      <w:tcPr>
        <w:tcBorders>
          <w:left w:val="single" w:sz="32" w:space="0" w:color="F4B184"/>
          <w:right w:val="single" w:sz="4" w:space="0" w:color="FFFFFF"/>
        </w:tcBorders>
      </w:tcPr>
    </w:tblStylePr>
    <w:tblStylePr w:type="lastCol">
      <w:tcPr>
        <w:tcBorders>
          <w:left w:val="single" w:sz="4" w:space="0" w:color="FFFFFF"/>
          <w:right w:val="single" w:sz="32" w:space="0" w:color="F4B184"/>
        </w:tcBorders>
      </w:tcPr>
    </w:tblStylePr>
    <w:tblStylePr w:type="firstRow">
      <w:rPr>
        <w:rFonts w:ascii="Arial" w:hAnsi="Arial"/>
        <w:b/>
        <w:color w:val="FFFFFF"/>
        <w:sz w:val="22"/>
      </w:rPr>
      <w:tcPr>
        <w:tcBorders>
          <w:top w:val="single" w:sz="32" w:space="0" w:color="F4B184"/>
          <w:bottom w:val="single" w:sz="12" w:space="0" w:color="FFFFFF"/>
        </w:tcBorders>
        <w:shd w:val="clear" w:color="auto" w:fill="F4B285"/>
      </w:tcPr>
    </w:tblStylePr>
    <w:tblStylePr w:type="lastRow">
      <w:rPr>
        <w:rFonts w:ascii="Arial" w:hAnsi="Arial"/>
        <w:b/>
        <w:color w:val="FFFFFF"/>
        <w:sz w:val="22"/>
      </w:rPr>
    </w:tblStylePr>
  </w:style>
  <w:style w:type="table" w:styleId="ListTable5Dark-Accent3" w:customStyle="1">
    <w:name w:val="List Table 5 Dark - Accent 3"/>
    <w:basedOn w:val="Tabelanormal"/>
    <w:uiPriority w:val="99"/>
    <w:tblPr>
      <w:tblStyleRowBandSize w:val="1"/>
      <w:tblBorders>
        <w:top w:val="single" w:sz="32" w:space="0" w:color="C9C9C9"/>
        <w:left w:val="single" w:sz="32" w:space="0" w:color="C9C9C9"/>
        <w:bottom w:val="single" w:sz="32" w:space="0" w:color="C9C9C9"/>
        <w:right w:val="single" w:sz="32" w:space="0" w:color="C9C9C9"/>
      </w:tblBorders>
    </w:tblPr>
    <w:tblStylePr w:type="band1Vert">
      <w:tcPr>
        <w:tcBorders>
          <w:left w:val="single" w:sz="4" w:space="0" w:color="FFFFFF"/>
          <w:right w:val="single" w:sz="4" w:space="0" w:color="FFFFFF"/>
        </w:tcBorders>
        <w:shd w:val="clear" w:color="auto" w:fill="C9C9C9"/>
      </w:tcPr>
    </w:tblStylePr>
    <w:tblStylePr w:type="band2Vert">
      <w:tcPr>
        <w:tcBorders>
          <w:left w:val="single" w:sz="4" w:space="0" w:color="FFFFFF"/>
          <w:right w:val="single" w:sz="4" w:space="0" w:color="FFFFFF"/>
        </w:tcBorders>
      </w:tcPr>
    </w:tblStylePr>
    <w:tblStylePr w:type="band1Horz">
      <w:tcPr>
        <w:tcBorders>
          <w:top w:val="single" w:sz="4" w:space="0" w:color="FFFFFF"/>
          <w:bottom w:val="single" w:sz="4" w:space="0" w:color="FFFFFF"/>
        </w:tcBorders>
        <w:shd w:val="clear" w:color="auto" w:fill="C9C9C9"/>
      </w:tcPr>
    </w:tblStylePr>
    <w:tblStylePr w:type="band2Horz">
      <w:tcPr>
        <w:tcBorders>
          <w:top w:val="single" w:sz="4" w:space="0" w:color="FFFFFF"/>
          <w:bottom w:val="single" w:sz="4" w:space="0" w:color="FFFFFF"/>
        </w:tcBorders>
        <w:shd w:val="clear" w:color="auto" w:fill="C9C9C9"/>
      </w:tcPr>
    </w:tblStylePr>
    <w:tblStylePr w:type="firstCol">
      <w:rPr>
        <w:rFonts w:ascii="Arial" w:hAnsi="Arial"/>
        <w:b/>
        <w:color w:val="FFFFFF"/>
        <w:sz w:val="22"/>
      </w:rPr>
      <w:tcPr>
        <w:tcBorders>
          <w:left w:val="single" w:sz="32" w:space="0" w:color="C9C9C9"/>
          <w:right w:val="single" w:sz="4" w:space="0" w:color="FFFFFF"/>
        </w:tcBorders>
      </w:tcPr>
    </w:tblStylePr>
    <w:tblStylePr w:type="lastCol">
      <w:tcPr>
        <w:tcBorders>
          <w:left w:val="single" w:sz="4" w:space="0" w:color="FFFFFF"/>
          <w:right w:val="single" w:sz="32" w:space="0" w:color="C9C9C9"/>
        </w:tcBorders>
      </w:tcPr>
    </w:tblStylePr>
    <w:tblStylePr w:type="firstRow">
      <w:rPr>
        <w:rFonts w:ascii="Arial" w:hAnsi="Arial"/>
        <w:b/>
        <w:color w:val="FFFFFF"/>
        <w:sz w:val="22"/>
      </w:rPr>
      <w:tcPr>
        <w:tcBorders>
          <w:top w:val="single" w:sz="32" w:space="0" w:color="C9C9C9"/>
          <w:bottom w:val="single" w:sz="12" w:space="0" w:color="FFFFFF"/>
        </w:tcBorders>
        <w:shd w:val="clear" w:color="auto" w:fill="C9C9C9"/>
      </w:tcPr>
    </w:tblStylePr>
    <w:tblStylePr w:type="lastRow">
      <w:rPr>
        <w:rFonts w:ascii="Arial" w:hAnsi="Arial"/>
        <w:b/>
        <w:color w:val="FFFFFF"/>
        <w:sz w:val="22"/>
      </w:rPr>
    </w:tblStylePr>
  </w:style>
  <w:style w:type="table" w:styleId="ListTable5Dark-Accent4" w:customStyle="1">
    <w:name w:val="List Table 5 Dark - Accent 4"/>
    <w:basedOn w:val="Tabelanormal"/>
    <w:uiPriority w:val="99"/>
    <w:tblPr>
      <w:tblStyleRowBandSize w:val="1"/>
      <w:tblBorders>
        <w:top w:val="single" w:sz="32" w:space="0" w:color="FFD865"/>
        <w:left w:val="single" w:sz="32" w:space="0" w:color="FFD865"/>
        <w:bottom w:val="single" w:sz="32" w:space="0" w:color="FFD865"/>
        <w:right w:val="single" w:sz="32" w:space="0" w:color="FFD865"/>
      </w:tblBorders>
    </w:tblPr>
    <w:tblStylePr w:type="band1Vert">
      <w:tcPr>
        <w:tcBorders>
          <w:left w:val="single" w:sz="4" w:space="0" w:color="FFFFFF"/>
          <w:right w:val="single" w:sz="4" w:space="0" w:color="FFFFFF"/>
        </w:tcBorders>
        <w:shd w:val="clear" w:color="auto" w:fill="FFD965"/>
      </w:tcPr>
    </w:tblStylePr>
    <w:tblStylePr w:type="band2Vert">
      <w:tcPr>
        <w:tcBorders>
          <w:left w:val="single" w:sz="4" w:space="0" w:color="FFFFFF"/>
          <w:right w:val="single" w:sz="4" w:space="0" w:color="FFFFFF"/>
        </w:tcBorders>
      </w:tcPr>
    </w:tblStylePr>
    <w:tblStylePr w:type="band1Horz">
      <w:tcPr>
        <w:tcBorders>
          <w:top w:val="single" w:sz="4" w:space="0" w:color="FFFFFF"/>
          <w:bottom w:val="single" w:sz="4" w:space="0" w:color="FFFFFF"/>
        </w:tcBorders>
        <w:shd w:val="clear" w:color="auto" w:fill="FFD965"/>
      </w:tcPr>
    </w:tblStylePr>
    <w:tblStylePr w:type="band2Horz">
      <w:tcPr>
        <w:tcBorders>
          <w:top w:val="single" w:sz="4" w:space="0" w:color="FFFFFF"/>
          <w:bottom w:val="single" w:sz="4" w:space="0" w:color="FFFFFF"/>
        </w:tcBorders>
        <w:shd w:val="clear" w:color="auto" w:fill="FFD965"/>
      </w:tcPr>
    </w:tblStylePr>
    <w:tblStylePr w:type="firstCol">
      <w:rPr>
        <w:rFonts w:ascii="Arial" w:hAnsi="Arial"/>
        <w:b/>
        <w:color w:val="FFFFFF"/>
        <w:sz w:val="22"/>
      </w:rPr>
      <w:tcPr>
        <w:tcBorders>
          <w:left w:val="single" w:sz="32" w:space="0" w:color="FFD865"/>
          <w:right w:val="single" w:sz="4" w:space="0" w:color="FFFFFF"/>
        </w:tcBorders>
      </w:tcPr>
    </w:tblStylePr>
    <w:tblStylePr w:type="lastCol">
      <w:tcPr>
        <w:tcBorders>
          <w:left w:val="single" w:sz="4" w:space="0" w:color="FFFFFF"/>
          <w:right w:val="single" w:sz="32" w:space="0" w:color="FFD865"/>
        </w:tcBorders>
      </w:tcPr>
    </w:tblStylePr>
    <w:tblStylePr w:type="firstRow">
      <w:rPr>
        <w:rFonts w:ascii="Arial" w:hAnsi="Arial"/>
        <w:b/>
        <w:color w:val="FFFFFF"/>
        <w:sz w:val="22"/>
      </w:rPr>
      <w:tcPr>
        <w:tcBorders>
          <w:top w:val="single" w:sz="32" w:space="0" w:color="FFD865"/>
          <w:bottom w:val="single" w:sz="12" w:space="0" w:color="FFFFFF"/>
        </w:tcBorders>
        <w:shd w:val="clear" w:color="auto" w:fill="FFD965"/>
      </w:tcPr>
    </w:tblStylePr>
    <w:tblStylePr w:type="lastRow">
      <w:rPr>
        <w:rFonts w:ascii="Arial" w:hAnsi="Arial"/>
        <w:b/>
        <w:color w:val="FFFFFF"/>
        <w:sz w:val="22"/>
      </w:rPr>
    </w:tblStylePr>
  </w:style>
  <w:style w:type="table" w:styleId="ListTable5Dark-Accent5" w:customStyle="1">
    <w:name w:val="List Table 5 Dark - Accent 5"/>
    <w:basedOn w:val="Tabelanormal"/>
    <w:uiPriority w:val="99"/>
    <w:tblPr>
      <w:tblStyleRowBandSize w:val="1"/>
      <w:tblBorders>
        <w:top w:val="single" w:sz="32" w:space="0" w:color="9BC2E5"/>
        <w:left w:val="single" w:sz="32" w:space="0" w:color="9BC2E5"/>
        <w:bottom w:val="single" w:sz="32" w:space="0" w:color="9BC2E5"/>
        <w:right w:val="single" w:sz="32" w:space="0" w:color="9BC2E5"/>
      </w:tblBorders>
    </w:tblPr>
    <w:tblStylePr w:type="band1Vert">
      <w:tcPr>
        <w:tcBorders>
          <w:left w:val="single" w:sz="4" w:space="0" w:color="FFFFFF"/>
          <w:right w:val="single" w:sz="4" w:space="0" w:color="FFFFFF"/>
        </w:tcBorders>
        <w:shd w:val="clear" w:color="auto" w:fill="9CC3E6"/>
      </w:tcPr>
    </w:tblStylePr>
    <w:tblStylePr w:type="band2Vert">
      <w:tcPr>
        <w:tcBorders>
          <w:left w:val="single" w:sz="4" w:space="0" w:color="FFFFFF"/>
          <w:right w:val="single" w:sz="4" w:space="0" w:color="FFFFFF"/>
        </w:tcBorders>
      </w:tcPr>
    </w:tblStylePr>
    <w:tblStylePr w:type="band1Horz">
      <w:tcPr>
        <w:tcBorders>
          <w:top w:val="single" w:sz="4" w:space="0" w:color="FFFFFF"/>
          <w:bottom w:val="single" w:sz="4" w:space="0" w:color="FFFFFF"/>
        </w:tcBorders>
        <w:shd w:val="clear" w:color="auto" w:fill="9CC3E6"/>
      </w:tcPr>
    </w:tblStylePr>
    <w:tblStylePr w:type="band2Horz">
      <w:tcPr>
        <w:tcBorders>
          <w:top w:val="single" w:sz="4" w:space="0" w:color="FFFFFF"/>
          <w:bottom w:val="single" w:sz="4" w:space="0" w:color="FFFFFF"/>
        </w:tcBorders>
        <w:shd w:val="clear" w:color="auto" w:fill="9CC3E6"/>
      </w:tcPr>
    </w:tblStylePr>
    <w:tblStylePr w:type="firstCol">
      <w:rPr>
        <w:rFonts w:ascii="Arial" w:hAnsi="Arial"/>
        <w:b/>
        <w:color w:val="FFFFFF"/>
        <w:sz w:val="22"/>
      </w:rPr>
      <w:tcPr>
        <w:tcBorders>
          <w:left w:val="single" w:sz="32" w:space="0" w:color="9BC2E5"/>
          <w:right w:val="single" w:sz="4" w:space="0" w:color="FFFFFF"/>
        </w:tcBorders>
      </w:tcPr>
    </w:tblStylePr>
    <w:tblStylePr w:type="lastCol">
      <w:tcPr>
        <w:tcBorders>
          <w:left w:val="single" w:sz="4" w:space="0" w:color="FFFFFF"/>
          <w:right w:val="single" w:sz="32" w:space="0" w:color="9BC2E5"/>
        </w:tcBorders>
      </w:tcPr>
    </w:tblStylePr>
    <w:tblStylePr w:type="firstRow">
      <w:rPr>
        <w:rFonts w:ascii="Arial" w:hAnsi="Arial"/>
        <w:b/>
        <w:color w:val="FFFFFF"/>
        <w:sz w:val="22"/>
      </w:rPr>
      <w:tcPr>
        <w:tcBorders>
          <w:top w:val="single" w:sz="32" w:space="0" w:color="9BC2E5"/>
          <w:bottom w:val="single" w:sz="12" w:space="0" w:color="FFFFFF"/>
        </w:tcBorders>
        <w:shd w:val="clear" w:color="auto" w:fill="9CC3E6"/>
      </w:tcPr>
    </w:tblStylePr>
    <w:tblStylePr w:type="lastRow">
      <w:rPr>
        <w:rFonts w:ascii="Arial" w:hAnsi="Arial"/>
        <w:b/>
        <w:color w:val="FFFFFF"/>
        <w:sz w:val="22"/>
      </w:rPr>
    </w:tblStylePr>
  </w:style>
  <w:style w:type="table" w:styleId="ListTable5Dark-Accent6" w:customStyle="1">
    <w:name w:val="List Table 5 Dark - Accent 6"/>
    <w:basedOn w:val="Tabelanormal"/>
    <w:uiPriority w:val="99"/>
    <w:tblPr>
      <w:tblStyleRowBandSize w:val="1"/>
      <w:tblBorders>
        <w:top w:val="single" w:sz="32" w:space="0" w:color="A9D08E"/>
        <w:left w:val="single" w:sz="32" w:space="0" w:color="A9D08E"/>
        <w:bottom w:val="single" w:sz="32" w:space="0" w:color="A9D08E"/>
        <w:right w:val="single" w:sz="32" w:space="0" w:color="A9D08E"/>
      </w:tblBorders>
    </w:tblPr>
    <w:tblStylePr w:type="band1Vert">
      <w:tcPr>
        <w:tcBorders>
          <w:left w:val="single" w:sz="4" w:space="0" w:color="FFFFFF"/>
          <w:right w:val="single" w:sz="4" w:space="0" w:color="FFFFFF"/>
        </w:tcBorders>
        <w:shd w:val="clear" w:color="auto" w:fill="A9D18F"/>
      </w:tcPr>
    </w:tblStylePr>
    <w:tblStylePr w:type="band2Vert">
      <w:tcPr>
        <w:tcBorders>
          <w:left w:val="single" w:sz="4" w:space="0" w:color="FFFFFF"/>
          <w:right w:val="single" w:sz="4" w:space="0" w:color="FFFFFF"/>
        </w:tcBorders>
      </w:tcPr>
    </w:tblStylePr>
    <w:tblStylePr w:type="band1Horz">
      <w:tcPr>
        <w:tcBorders>
          <w:top w:val="single" w:sz="4" w:space="0" w:color="FFFFFF"/>
          <w:bottom w:val="single" w:sz="4" w:space="0" w:color="FFFFFF"/>
        </w:tcBorders>
        <w:shd w:val="clear" w:color="auto" w:fill="A9D18F"/>
      </w:tcPr>
    </w:tblStylePr>
    <w:tblStylePr w:type="band2Horz">
      <w:tcPr>
        <w:tcBorders>
          <w:top w:val="single" w:sz="4" w:space="0" w:color="FFFFFF"/>
          <w:bottom w:val="single" w:sz="4" w:space="0" w:color="FFFFFF"/>
        </w:tcBorders>
        <w:shd w:val="clear" w:color="auto" w:fill="A9D18F"/>
      </w:tcPr>
    </w:tblStylePr>
    <w:tblStylePr w:type="firstCol">
      <w:rPr>
        <w:rFonts w:ascii="Arial" w:hAnsi="Arial"/>
        <w:b/>
        <w:color w:val="FFFFFF"/>
        <w:sz w:val="22"/>
      </w:rPr>
      <w:tcPr>
        <w:tcBorders>
          <w:left w:val="single" w:sz="32" w:space="0" w:color="A9D08E"/>
          <w:right w:val="single" w:sz="4" w:space="0" w:color="FFFFFF"/>
        </w:tcBorders>
      </w:tcPr>
    </w:tblStylePr>
    <w:tblStylePr w:type="lastCol">
      <w:tcPr>
        <w:tcBorders>
          <w:left w:val="single" w:sz="4" w:space="0" w:color="FFFFFF"/>
          <w:right w:val="single" w:sz="32" w:space="0" w:color="A9D08E"/>
        </w:tcBorders>
      </w:tcPr>
    </w:tblStylePr>
    <w:tblStylePr w:type="firstRow">
      <w:rPr>
        <w:rFonts w:ascii="Arial" w:hAnsi="Arial"/>
        <w:b/>
        <w:color w:val="FFFFFF"/>
        <w:sz w:val="22"/>
      </w:rPr>
      <w:tcPr>
        <w:tcBorders>
          <w:top w:val="single" w:sz="32" w:space="0" w:color="A9D08E"/>
          <w:bottom w:val="single" w:sz="12" w:space="0" w:color="FFFFFF"/>
        </w:tcBorders>
        <w:shd w:val="clear" w:color="auto" w:fill="A9D18F"/>
      </w:tcPr>
    </w:tblStylePr>
    <w:tblStylePr w:type="lastRow">
      <w:rPr>
        <w:rFonts w:ascii="Arial" w:hAnsi="Arial"/>
        <w:b/>
        <w:color w:val="FFFFFF"/>
        <w:sz w:val="22"/>
      </w:rPr>
    </w:tblStylePr>
  </w:style>
  <w:style w:type="table" w:styleId="TabeladeLista6Colorida">
    <w:name w:val="List Table 6 Colorful"/>
    <w:basedOn w:val="Tabelanormal"/>
    <w:uiPriority w:val="99"/>
    <w:tblPr>
      <w:tblStyleRowBandSize w:val="1"/>
      <w:tblBorders>
        <w:top w:val="single" w:sz="4" w:space="0" w:color="7F7F7F"/>
        <w:bottom w:val="single" w:sz="4" w:space="0" w:color="7F7F7F"/>
      </w:tblBorders>
    </w:tblPr>
    <w:tblStylePr w:type="band1Vert">
      <w:tcPr>
        <w:shd w:val="clear" w:color="auto" w:fill="BFBFBF"/>
      </w:tcPr>
    </w:tblStylePr>
    <w:tblStylePr w:type="band1Horz">
      <w:rPr>
        <w:rFonts w:ascii="Arial" w:hAnsi="Arial"/>
        <w:color w:val="000000"/>
        <w:sz w:val="22"/>
      </w:rPr>
      <w:tcPr>
        <w:shd w:val="clear" w:color="auto" w:fill="BFBFBF"/>
      </w:tcPr>
    </w:tblStylePr>
    <w:tblStylePr w:type="band2Horz">
      <w:rPr>
        <w:rFonts w:ascii="Arial" w:hAnsi="Arial"/>
        <w:color w:val="000000"/>
        <w:sz w:val="22"/>
      </w:rPr>
    </w:tblStylePr>
    <w:tblStylePr w:type="firstCol">
      <w:rPr>
        <w:b/>
        <w:color w:val="000000"/>
      </w:rPr>
    </w:tblStylePr>
    <w:tblStylePr w:type="lastCol">
      <w:rPr>
        <w:b/>
        <w:color w:val="000000"/>
      </w:rPr>
    </w:tblStylePr>
    <w:tblStylePr w:type="firstRow">
      <w:rPr>
        <w:b/>
        <w:color w:val="000000"/>
      </w:rPr>
      <w:tcPr>
        <w:tcBorders>
          <w:bottom w:val="single" w:sz="4" w:space="0" w:color="7F7F7F"/>
        </w:tcBorders>
      </w:tcPr>
    </w:tblStylePr>
    <w:tblStylePr w:type="lastRow">
      <w:rPr>
        <w:b/>
        <w:color w:val="000000"/>
      </w:rPr>
      <w:tcPr>
        <w:tcBorders>
          <w:top w:val="single" w:sz="4" w:space="0" w:color="7F7F7F"/>
        </w:tcBorders>
      </w:tcPr>
    </w:tblStylePr>
  </w:style>
  <w:style w:type="table" w:styleId="ListTable6Colorful-Accent1" w:customStyle="1">
    <w:name w:val="List Table 6 Colorful - Accent 1"/>
    <w:basedOn w:val="Tabelanormal"/>
    <w:uiPriority w:val="99"/>
    <w:tblPr>
      <w:tblStyleRowBandSize w:val="1"/>
      <w:tblBorders>
        <w:top w:val="single" w:sz="4" w:space="0" w:color="4472C4"/>
        <w:bottom w:val="single" w:sz="4" w:space="0" w:color="4472C4"/>
      </w:tblBorders>
    </w:tblPr>
    <w:tblStylePr w:type="band1Vert">
      <w:tcPr>
        <w:shd w:val="clear" w:color="auto" w:fill="D0DCF0"/>
      </w:tcPr>
    </w:tblStylePr>
    <w:tblStylePr w:type="band1Horz">
      <w:rPr>
        <w:rFonts w:ascii="Arial" w:hAnsi="Arial"/>
        <w:color w:val="254275"/>
        <w:sz w:val="22"/>
      </w:rPr>
      <w:tcPr>
        <w:shd w:val="clear" w:color="auto" w:fill="D0DCF0"/>
      </w:tcPr>
    </w:tblStylePr>
    <w:tblStylePr w:type="band2Horz">
      <w:rPr>
        <w:rFonts w:ascii="Arial" w:hAnsi="Arial"/>
        <w:color w:val="254275"/>
        <w:sz w:val="22"/>
      </w:rPr>
    </w:tblStylePr>
    <w:tblStylePr w:type="firstCol">
      <w:rPr>
        <w:b/>
        <w:color w:val="254275"/>
      </w:rPr>
    </w:tblStylePr>
    <w:tblStylePr w:type="lastCol">
      <w:rPr>
        <w:b/>
        <w:color w:val="254275"/>
      </w:rPr>
    </w:tblStylePr>
    <w:tblStylePr w:type="firstRow">
      <w:rPr>
        <w:b/>
        <w:color w:val="254275"/>
      </w:rPr>
      <w:tcPr>
        <w:tcBorders>
          <w:bottom w:val="single" w:sz="4" w:space="0" w:color="4472C4"/>
        </w:tcBorders>
      </w:tcPr>
    </w:tblStylePr>
    <w:tblStylePr w:type="lastRow">
      <w:rPr>
        <w:b/>
        <w:color w:val="254275"/>
      </w:rPr>
      <w:tcPr>
        <w:tcBorders>
          <w:top w:val="single" w:sz="4" w:space="0" w:color="4472C4"/>
        </w:tcBorders>
      </w:tcPr>
    </w:tblStylePr>
  </w:style>
  <w:style w:type="table" w:styleId="ListTable6Colorful-Accent2" w:customStyle="1">
    <w:name w:val="List Table 6 Colorful - Accent 2"/>
    <w:basedOn w:val="Tabelanormal"/>
    <w:uiPriority w:val="99"/>
    <w:tblPr>
      <w:tblStyleRowBandSize w:val="1"/>
      <w:tblBorders>
        <w:top w:val="single" w:sz="4" w:space="0" w:color="F4B184"/>
        <w:bottom w:val="single" w:sz="4" w:space="0" w:color="F4B184"/>
      </w:tblBorders>
    </w:tblPr>
    <w:tblStylePr w:type="band1Vert">
      <w:tcPr>
        <w:shd w:val="clear" w:color="auto" w:fill="FADECB"/>
      </w:tcPr>
    </w:tblStylePr>
    <w:tblStylePr w:type="band1Horz">
      <w:rPr>
        <w:rFonts w:ascii="Arial" w:hAnsi="Arial"/>
        <w:color w:val="CA5D12"/>
        <w:sz w:val="22"/>
      </w:rPr>
      <w:tcPr>
        <w:shd w:val="clear" w:color="auto" w:fill="FADECB"/>
      </w:tcPr>
    </w:tblStylePr>
    <w:tblStylePr w:type="band2Horz">
      <w:rPr>
        <w:rFonts w:ascii="Arial" w:hAnsi="Arial"/>
        <w:color w:val="CA5D12"/>
        <w:sz w:val="22"/>
      </w:rPr>
    </w:tblStylePr>
    <w:tblStylePr w:type="firstCol">
      <w:rPr>
        <w:b/>
        <w:color w:val="CA5D12"/>
      </w:rPr>
    </w:tblStylePr>
    <w:tblStylePr w:type="lastCol">
      <w:rPr>
        <w:b/>
        <w:color w:val="CA5D12"/>
      </w:rPr>
    </w:tblStylePr>
    <w:tblStylePr w:type="firstRow">
      <w:rPr>
        <w:b/>
        <w:color w:val="CA5D12"/>
      </w:rPr>
      <w:tcPr>
        <w:tcBorders>
          <w:bottom w:val="single" w:sz="4" w:space="0" w:color="F4B184"/>
        </w:tcBorders>
      </w:tcPr>
    </w:tblStylePr>
    <w:tblStylePr w:type="lastRow">
      <w:rPr>
        <w:b/>
        <w:color w:val="CA5D12"/>
      </w:rPr>
      <w:tcPr>
        <w:tcBorders>
          <w:top w:val="single" w:sz="4" w:space="0" w:color="F4B184"/>
        </w:tcBorders>
      </w:tcPr>
    </w:tblStylePr>
  </w:style>
  <w:style w:type="table" w:styleId="ListTable6Colorful-Accent3" w:customStyle="1">
    <w:name w:val="List Table 6 Colorful - Accent 3"/>
    <w:basedOn w:val="Tabelanormal"/>
    <w:uiPriority w:val="99"/>
    <w:tblPr>
      <w:tblStyleRowBandSize w:val="1"/>
      <w:tblBorders>
        <w:top w:val="single" w:sz="4" w:space="0" w:color="C9C9C9"/>
        <w:bottom w:val="single" w:sz="4" w:space="0" w:color="C9C9C9"/>
      </w:tblBorders>
    </w:tblPr>
    <w:tblStylePr w:type="band1Vert">
      <w:tcPr>
        <w:shd w:val="clear" w:color="auto" w:fill="E8E8E8"/>
      </w:tcPr>
    </w:tblStylePr>
    <w:tblStylePr w:type="band1Horz">
      <w:rPr>
        <w:rFonts w:ascii="Arial" w:hAnsi="Arial"/>
        <w:color w:val="757575"/>
        <w:sz w:val="22"/>
      </w:rPr>
      <w:tcPr>
        <w:shd w:val="clear" w:color="auto" w:fill="E8E8E8"/>
      </w:tcPr>
    </w:tblStylePr>
    <w:tblStylePr w:type="band2Horz">
      <w:rPr>
        <w:rFonts w:ascii="Arial" w:hAnsi="Arial"/>
        <w:color w:val="757575"/>
        <w:sz w:val="22"/>
      </w:rPr>
    </w:tblStylePr>
    <w:tblStylePr w:type="firstCol">
      <w:rPr>
        <w:b/>
        <w:color w:val="757575"/>
      </w:rPr>
    </w:tblStylePr>
    <w:tblStylePr w:type="lastCol">
      <w:rPr>
        <w:b/>
        <w:color w:val="757575"/>
      </w:rPr>
    </w:tblStylePr>
    <w:tblStylePr w:type="firstRow">
      <w:rPr>
        <w:b/>
        <w:color w:val="757575"/>
      </w:rPr>
      <w:tcPr>
        <w:tcBorders>
          <w:bottom w:val="single" w:sz="4" w:space="0" w:color="C9C9C9"/>
        </w:tcBorders>
      </w:tcPr>
    </w:tblStylePr>
    <w:tblStylePr w:type="lastRow">
      <w:rPr>
        <w:b/>
        <w:color w:val="757575"/>
      </w:rPr>
      <w:tcPr>
        <w:tcBorders>
          <w:top w:val="single" w:sz="4" w:space="0" w:color="C9C9C9"/>
        </w:tcBorders>
      </w:tcPr>
    </w:tblStylePr>
  </w:style>
  <w:style w:type="table" w:styleId="ListTable6Colorful-Accent4" w:customStyle="1">
    <w:name w:val="List Table 6 Colorful - Accent 4"/>
    <w:basedOn w:val="Tabelanormal"/>
    <w:uiPriority w:val="99"/>
    <w:tblPr>
      <w:tblStyleRowBandSize w:val="1"/>
      <w:tblBorders>
        <w:top w:val="single" w:sz="4" w:space="0" w:color="FFD865"/>
        <w:bottom w:val="single" w:sz="4" w:space="0" w:color="FFD865"/>
      </w:tblBorders>
    </w:tblPr>
    <w:tblStylePr w:type="band1Vert">
      <w:tcPr>
        <w:shd w:val="clear" w:color="auto" w:fill="FFEFBF"/>
      </w:tcPr>
    </w:tblStylePr>
    <w:tblStylePr w:type="band1Horz">
      <w:rPr>
        <w:rFonts w:ascii="Arial" w:hAnsi="Arial"/>
        <w:color w:val="D09D00"/>
        <w:sz w:val="22"/>
      </w:rPr>
      <w:tcPr>
        <w:shd w:val="clear" w:color="auto" w:fill="FFEFBF"/>
      </w:tcPr>
    </w:tblStylePr>
    <w:tblStylePr w:type="band2Horz">
      <w:rPr>
        <w:rFonts w:ascii="Arial" w:hAnsi="Arial"/>
        <w:color w:val="D09D00"/>
        <w:sz w:val="22"/>
      </w:rPr>
    </w:tblStylePr>
    <w:tblStylePr w:type="firstCol">
      <w:rPr>
        <w:b/>
        <w:color w:val="D09D00"/>
      </w:rPr>
    </w:tblStylePr>
    <w:tblStylePr w:type="lastCol">
      <w:rPr>
        <w:b/>
        <w:color w:val="D09D00"/>
      </w:rPr>
    </w:tblStylePr>
    <w:tblStylePr w:type="firstRow">
      <w:rPr>
        <w:b/>
        <w:color w:val="D09D00"/>
      </w:rPr>
      <w:tcPr>
        <w:tcBorders>
          <w:bottom w:val="single" w:sz="4" w:space="0" w:color="FFD865"/>
        </w:tcBorders>
      </w:tcPr>
    </w:tblStylePr>
    <w:tblStylePr w:type="lastRow">
      <w:rPr>
        <w:b/>
        <w:color w:val="D09D00"/>
      </w:rPr>
      <w:tcPr>
        <w:tcBorders>
          <w:top w:val="single" w:sz="4" w:space="0" w:color="FFD865"/>
        </w:tcBorders>
      </w:tcPr>
    </w:tblStylePr>
  </w:style>
  <w:style w:type="table" w:styleId="ListTable6Colorful-Accent5" w:customStyle="1">
    <w:name w:val="List Table 6 Colorful - Accent 5"/>
    <w:basedOn w:val="Tabelanormal"/>
    <w:uiPriority w:val="99"/>
    <w:tblPr>
      <w:tblStyleRowBandSize w:val="1"/>
      <w:tblBorders>
        <w:top w:val="single" w:sz="4" w:space="0" w:color="9BC2E5"/>
        <w:bottom w:val="single" w:sz="4" w:space="0" w:color="9BC2E5"/>
      </w:tblBorders>
    </w:tblPr>
    <w:tblStylePr w:type="band1Vert">
      <w:tcPr>
        <w:shd w:val="clear" w:color="auto" w:fill="D6E6F4"/>
      </w:tcPr>
    </w:tblStylePr>
    <w:tblStylePr w:type="band1Horz">
      <w:rPr>
        <w:rFonts w:ascii="Arial" w:hAnsi="Arial"/>
        <w:color w:val="2D74B4"/>
        <w:sz w:val="22"/>
      </w:rPr>
      <w:tcPr>
        <w:shd w:val="clear" w:color="auto" w:fill="D6E6F4"/>
      </w:tcPr>
    </w:tblStylePr>
    <w:tblStylePr w:type="band2Horz">
      <w:rPr>
        <w:rFonts w:ascii="Arial" w:hAnsi="Arial"/>
        <w:color w:val="2D74B4"/>
        <w:sz w:val="22"/>
      </w:rPr>
    </w:tblStylePr>
    <w:tblStylePr w:type="firstCol">
      <w:rPr>
        <w:b/>
        <w:color w:val="2D74B4"/>
      </w:rPr>
    </w:tblStylePr>
    <w:tblStylePr w:type="lastCol">
      <w:rPr>
        <w:b/>
        <w:color w:val="2D74B4"/>
      </w:rPr>
    </w:tblStylePr>
    <w:tblStylePr w:type="firstRow">
      <w:rPr>
        <w:b/>
        <w:color w:val="2D74B4"/>
      </w:rPr>
      <w:tcPr>
        <w:tcBorders>
          <w:bottom w:val="single" w:sz="4" w:space="0" w:color="9BC2E5"/>
        </w:tcBorders>
      </w:tcPr>
    </w:tblStylePr>
    <w:tblStylePr w:type="lastRow">
      <w:rPr>
        <w:b/>
        <w:color w:val="2D74B4"/>
      </w:rPr>
      <w:tcPr>
        <w:tcBorders>
          <w:top w:val="single" w:sz="4" w:space="0" w:color="9BC2E5"/>
        </w:tcBorders>
      </w:tcPr>
    </w:tblStylePr>
  </w:style>
  <w:style w:type="table" w:styleId="ListTable6Colorful-Accent6" w:customStyle="1">
    <w:name w:val="List Table 6 Colorful - Accent 6"/>
    <w:basedOn w:val="Tabelanormal"/>
    <w:uiPriority w:val="99"/>
    <w:tblPr>
      <w:tblStyleRowBandSize w:val="1"/>
      <w:tblBorders>
        <w:top w:val="single" w:sz="4" w:space="0" w:color="A9D08E"/>
        <w:bottom w:val="single" w:sz="4" w:space="0" w:color="A9D08E"/>
      </w:tblBorders>
    </w:tblPr>
    <w:tblStylePr w:type="band1Vert">
      <w:tcPr>
        <w:shd w:val="clear" w:color="auto" w:fill="DBECD0"/>
      </w:tcPr>
    </w:tblStylePr>
    <w:tblStylePr w:type="band1Horz">
      <w:rPr>
        <w:rFonts w:ascii="Arial" w:hAnsi="Arial"/>
        <w:color w:val="5E923C"/>
        <w:sz w:val="22"/>
      </w:rPr>
      <w:tcPr>
        <w:shd w:val="clear" w:color="auto" w:fill="DBECD0"/>
      </w:tcPr>
    </w:tblStylePr>
    <w:tblStylePr w:type="band2Horz">
      <w:rPr>
        <w:rFonts w:ascii="Arial" w:hAnsi="Arial"/>
        <w:color w:val="5E923C"/>
        <w:sz w:val="22"/>
      </w:rPr>
    </w:tblStylePr>
    <w:tblStylePr w:type="firstCol">
      <w:rPr>
        <w:b/>
        <w:color w:val="5E923C"/>
      </w:rPr>
    </w:tblStylePr>
    <w:tblStylePr w:type="lastCol">
      <w:rPr>
        <w:b/>
        <w:color w:val="5E923C"/>
      </w:rPr>
    </w:tblStylePr>
    <w:tblStylePr w:type="firstRow">
      <w:rPr>
        <w:b/>
        <w:color w:val="5E923C"/>
      </w:rPr>
      <w:tcPr>
        <w:tcBorders>
          <w:bottom w:val="single" w:sz="4" w:space="0" w:color="A9D08E"/>
        </w:tcBorders>
      </w:tcPr>
    </w:tblStylePr>
    <w:tblStylePr w:type="lastRow">
      <w:rPr>
        <w:b/>
        <w:color w:val="5E923C"/>
      </w:rPr>
      <w:tcPr>
        <w:tcBorders>
          <w:top w:val="single" w:sz="4" w:space="0" w:color="A9D08E"/>
        </w:tcBorders>
      </w:tcPr>
    </w:tblStylePr>
  </w:style>
  <w:style w:type="table" w:styleId="TabeladeLista7Colorida">
    <w:name w:val="List Table 7 Colorful"/>
    <w:basedOn w:val="Tabelanormal"/>
    <w:uiPriority w:val="99"/>
    <w:tblPr>
      <w:tblStyleRowBandSize w:val="1"/>
      <w:tblBorders>
        <w:right w:val="single" w:sz="4" w:space="0" w:color="7F7F7F"/>
      </w:tblBorders>
    </w:tblPr>
    <w:tblStylePr w:type="band1Vert">
      <w:tcPr>
        <w:shd w:val="clear" w:color="auto" w:fill="BFBFBF"/>
      </w:tcPr>
    </w:tblStylePr>
    <w:tblStylePr w:type="band1Horz">
      <w:rPr>
        <w:rFonts w:ascii="Arial" w:hAnsi="Arial"/>
        <w:color w:val="4A4A4A"/>
        <w:sz w:val="22"/>
      </w:rPr>
      <w:tcPr>
        <w:shd w:val="clear" w:color="auto" w:fill="BFBFBF"/>
      </w:tcPr>
    </w:tblStylePr>
    <w:tblStylePr w:type="band2Horz">
      <w:rPr>
        <w:rFonts w:ascii="Arial" w:hAnsi="Arial"/>
        <w:color w:val="4A4A4A"/>
        <w:sz w:val="22"/>
      </w:rPr>
    </w:tblStylePr>
    <w:tblStylePr w:type="firstCol">
      <w:pPr>
        <w:jc w:val="right"/>
      </w:pPr>
      <w:rPr>
        <w:rFonts w:ascii="Arial" w:hAnsi="Arial"/>
        <w:i/>
        <w:color w:val="4A4A4A"/>
        <w:sz w:val="22"/>
      </w:rPr>
      <w:tcPr>
        <w:tcBorders>
          <w:top w:val="nil" w:sz="4" w:space="0" w:color="auto"/>
          <w:left w:val="nil" w:sz="4" w:space="0" w:color="auto"/>
          <w:bottom w:val="nil" w:sz="4" w:space="0" w:color="auto"/>
          <w:right w:val="single" w:sz="4" w:space="0" w:color="7F7F7F"/>
        </w:tcBorders>
      </w:tcPr>
    </w:tblStylePr>
    <w:tblStylePr w:type="lastCol">
      <w:rPr>
        <w:rFonts w:ascii="Arial" w:hAnsi="Arial"/>
        <w:i/>
        <w:color w:val="4A4A4A"/>
        <w:sz w:val="22"/>
      </w:rPr>
      <w:tcPr>
        <w:tcBorders>
          <w:top w:val="nil" w:sz="4" w:space="0" w:color="auto"/>
          <w:left w:val="single" w:sz="4" w:space="0" w:color="7F7F7F"/>
          <w:bottom w:val="nil" w:sz="4" w:space="0" w:color="auto"/>
          <w:right w:val="nil" w:sz="4" w:space="0" w:color="auto"/>
        </w:tcBorders>
      </w:tcPr>
    </w:tblStylePr>
    <w:tblStylePr w:type="firstRow">
      <w:rPr>
        <w:rFonts w:ascii="Arial" w:hAnsi="Arial"/>
        <w:i/>
        <w:color w:val="4A4A4A"/>
        <w:sz w:val="22"/>
      </w:rPr>
      <w:tcPr>
        <w:tcBorders>
          <w:top w:val="nil" w:sz="4" w:space="0" w:color="auto"/>
          <w:left w:val="nil" w:sz="4" w:space="0" w:color="auto"/>
          <w:bottom w:val="single" w:sz="4" w:space="0" w:color="7F7F7F"/>
          <w:right w:val="nil" w:sz="4" w:space="0" w:color="auto"/>
        </w:tcBorders>
        <w:shd w:val="clear" w:color="auto" w:fill="FFFFFF"/>
      </w:tcPr>
    </w:tblStylePr>
    <w:tblStylePr w:type="lastRow">
      <w:rPr>
        <w:rFonts w:ascii="Arial" w:hAnsi="Arial"/>
        <w:i/>
        <w:color w:val="4A4A4A"/>
        <w:sz w:val="22"/>
      </w:rPr>
      <w:tcPr>
        <w:tcBorders>
          <w:top w:val="single" w:sz="4" w:space="0" w:color="7F7F7F"/>
          <w:left w:val="nil" w:sz="4" w:space="0" w:color="auto"/>
          <w:bottom w:val="nil" w:sz="4" w:space="0" w:color="auto"/>
          <w:right w:val="nil" w:sz="4" w:space="0" w:color="auto"/>
        </w:tcBorders>
        <w:shd w:val="clear" w:color="auto" w:fill="FFFFFF"/>
      </w:tcPr>
    </w:tblStylePr>
  </w:style>
  <w:style w:type="table" w:styleId="ListTable7Colorful-Accent1" w:customStyle="1">
    <w:name w:val="List Table 7 Colorful - Accent 1"/>
    <w:basedOn w:val="Tabelanormal"/>
    <w:uiPriority w:val="99"/>
    <w:tblPr>
      <w:tblStyleRowBandSize w:val="1"/>
      <w:tblBorders>
        <w:right w:val="single" w:sz="4" w:space="0" w:color="4472C4"/>
      </w:tblBorders>
    </w:tblPr>
    <w:tblStylePr w:type="band1Vert">
      <w:tcPr>
        <w:shd w:val="clear" w:color="auto" w:fill="D0DCF0"/>
      </w:tcPr>
    </w:tblStylePr>
    <w:tblStylePr w:type="band1Horz">
      <w:rPr>
        <w:rFonts w:ascii="Arial" w:hAnsi="Arial"/>
        <w:color w:val="254275"/>
        <w:sz w:val="22"/>
      </w:rPr>
      <w:tcPr>
        <w:shd w:val="clear" w:color="auto" w:fill="D0DCF0"/>
      </w:tcPr>
    </w:tblStylePr>
    <w:tblStylePr w:type="band2Horz">
      <w:rPr>
        <w:rFonts w:ascii="Arial" w:hAnsi="Arial"/>
        <w:color w:val="254275"/>
        <w:sz w:val="22"/>
      </w:rPr>
    </w:tblStylePr>
    <w:tblStylePr w:type="firstCol">
      <w:pPr>
        <w:jc w:val="right"/>
      </w:pPr>
      <w:rPr>
        <w:rFonts w:ascii="Arial" w:hAnsi="Arial"/>
        <w:i/>
        <w:color w:val="254275"/>
        <w:sz w:val="22"/>
      </w:rPr>
      <w:tcPr>
        <w:tcBorders>
          <w:top w:val="nil" w:sz="4" w:space="0" w:color="auto"/>
          <w:left w:val="nil" w:sz="4" w:space="0" w:color="auto"/>
          <w:bottom w:val="nil" w:sz="4" w:space="0" w:color="auto"/>
          <w:right w:val="single" w:sz="4" w:space="0" w:color="4472C4"/>
        </w:tcBorders>
      </w:tcPr>
    </w:tblStylePr>
    <w:tblStylePr w:type="lastCol">
      <w:rPr>
        <w:rFonts w:ascii="Arial" w:hAnsi="Arial"/>
        <w:i/>
        <w:color w:val="254275"/>
        <w:sz w:val="22"/>
      </w:rPr>
      <w:tcPr>
        <w:tcBorders>
          <w:top w:val="nil" w:sz="4" w:space="0" w:color="auto"/>
          <w:left w:val="single" w:sz="4" w:space="0" w:color="4472C4"/>
          <w:bottom w:val="nil" w:sz="4" w:space="0" w:color="auto"/>
          <w:right w:val="nil" w:sz="4" w:space="0" w:color="auto"/>
        </w:tcBorders>
      </w:tcPr>
    </w:tblStylePr>
    <w:tblStylePr w:type="firstRow">
      <w:rPr>
        <w:rFonts w:ascii="Arial" w:hAnsi="Arial"/>
        <w:i/>
        <w:color w:val="254275"/>
        <w:sz w:val="22"/>
      </w:rPr>
      <w:tcPr>
        <w:tcBorders>
          <w:top w:val="nil" w:sz="4" w:space="0" w:color="auto"/>
          <w:left w:val="nil" w:sz="4" w:space="0" w:color="auto"/>
          <w:bottom w:val="single" w:sz="4" w:space="0" w:color="4472C4"/>
          <w:right w:val="nil" w:sz="4" w:space="0" w:color="auto"/>
        </w:tcBorders>
        <w:shd w:val="clear" w:color="auto" w:fill="FFFFFF"/>
      </w:tcPr>
    </w:tblStylePr>
    <w:tblStylePr w:type="lastRow">
      <w:rPr>
        <w:rFonts w:ascii="Arial" w:hAnsi="Arial"/>
        <w:i/>
        <w:color w:val="254275"/>
        <w:sz w:val="22"/>
      </w:rPr>
      <w:tcPr>
        <w:tcBorders>
          <w:top w:val="single" w:sz="4" w:space="0" w:color="4472C4"/>
          <w:left w:val="nil" w:sz="4" w:space="0" w:color="auto"/>
          <w:bottom w:val="nil" w:sz="4" w:space="0" w:color="auto"/>
          <w:right w:val="nil" w:sz="4" w:space="0" w:color="auto"/>
        </w:tcBorders>
        <w:shd w:val="clear" w:color="auto" w:fill="FFFFFF"/>
      </w:tcPr>
    </w:tblStylePr>
  </w:style>
  <w:style w:type="table" w:styleId="ListTable7Colorful-Accent2" w:customStyle="1">
    <w:name w:val="List Table 7 Colorful - Accent 2"/>
    <w:basedOn w:val="Tabelanormal"/>
    <w:uiPriority w:val="99"/>
    <w:tblPr>
      <w:tblStyleRowBandSize w:val="1"/>
      <w:tblBorders>
        <w:right w:val="single" w:sz="4" w:space="0" w:color="F4B184"/>
      </w:tblBorders>
    </w:tblPr>
    <w:tblStylePr w:type="band1Vert">
      <w:tcPr>
        <w:shd w:val="clear" w:color="auto" w:fill="FADECB"/>
      </w:tcPr>
    </w:tblStylePr>
    <w:tblStylePr w:type="band1Horz">
      <w:rPr>
        <w:rFonts w:ascii="Arial" w:hAnsi="Arial"/>
        <w:color w:val="CA5D12"/>
        <w:sz w:val="22"/>
      </w:rPr>
      <w:tcPr>
        <w:shd w:val="clear" w:color="auto" w:fill="FADECB"/>
      </w:tcPr>
    </w:tblStylePr>
    <w:tblStylePr w:type="band2Horz">
      <w:rPr>
        <w:rFonts w:ascii="Arial" w:hAnsi="Arial"/>
        <w:color w:val="CA5D12"/>
        <w:sz w:val="22"/>
      </w:rPr>
    </w:tblStylePr>
    <w:tblStylePr w:type="firstCol">
      <w:pPr>
        <w:jc w:val="right"/>
      </w:pPr>
      <w:rPr>
        <w:rFonts w:ascii="Arial" w:hAnsi="Arial"/>
        <w:i/>
        <w:color w:val="CA5D12"/>
        <w:sz w:val="22"/>
      </w:rPr>
      <w:tcPr>
        <w:tcBorders>
          <w:top w:val="nil" w:sz="4" w:space="0" w:color="auto"/>
          <w:left w:val="nil" w:sz="4" w:space="0" w:color="auto"/>
          <w:bottom w:val="nil" w:sz="4" w:space="0" w:color="auto"/>
          <w:right w:val="single" w:sz="4" w:space="0" w:color="F4B184"/>
        </w:tcBorders>
      </w:tcPr>
    </w:tblStylePr>
    <w:tblStylePr w:type="lastCol">
      <w:rPr>
        <w:rFonts w:ascii="Arial" w:hAnsi="Arial"/>
        <w:i/>
        <w:color w:val="CA5D12"/>
        <w:sz w:val="22"/>
      </w:rPr>
      <w:tcPr>
        <w:tcBorders>
          <w:top w:val="nil" w:sz="4" w:space="0" w:color="auto"/>
          <w:left w:val="single" w:sz="4" w:space="0" w:color="F4B184"/>
          <w:bottom w:val="nil" w:sz="4" w:space="0" w:color="auto"/>
          <w:right w:val="nil" w:sz="4" w:space="0" w:color="auto"/>
        </w:tcBorders>
      </w:tcPr>
    </w:tblStylePr>
    <w:tblStylePr w:type="firstRow">
      <w:rPr>
        <w:rFonts w:ascii="Arial" w:hAnsi="Arial"/>
        <w:i/>
        <w:color w:val="CA5D12"/>
        <w:sz w:val="22"/>
      </w:rPr>
      <w:tcPr>
        <w:tcBorders>
          <w:top w:val="nil" w:sz="4" w:space="0" w:color="auto"/>
          <w:left w:val="nil" w:sz="4" w:space="0" w:color="auto"/>
          <w:bottom w:val="single" w:sz="4" w:space="0" w:color="F4B184"/>
          <w:right w:val="nil" w:sz="4" w:space="0" w:color="auto"/>
        </w:tcBorders>
        <w:shd w:val="clear" w:color="auto" w:fill="FFFFFF"/>
      </w:tcPr>
    </w:tblStylePr>
    <w:tblStylePr w:type="lastRow">
      <w:rPr>
        <w:rFonts w:ascii="Arial" w:hAnsi="Arial"/>
        <w:i/>
        <w:color w:val="CA5D12"/>
        <w:sz w:val="22"/>
      </w:rPr>
      <w:tcPr>
        <w:tcBorders>
          <w:top w:val="single" w:sz="4" w:space="0" w:color="F4B184"/>
          <w:left w:val="nil" w:sz="4" w:space="0" w:color="auto"/>
          <w:bottom w:val="nil" w:sz="4" w:space="0" w:color="auto"/>
          <w:right w:val="nil" w:sz="4" w:space="0" w:color="auto"/>
        </w:tcBorders>
        <w:shd w:val="clear" w:color="auto" w:fill="FFFFFF"/>
      </w:tcPr>
    </w:tblStylePr>
  </w:style>
  <w:style w:type="table" w:styleId="ListTable7Colorful-Accent3" w:customStyle="1">
    <w:name w:val="List Table 7 Colorful - Accent 3"/>
    <w:basedOn w:val="Tabelanormal"/>
    <w:uiPriority w:val="99"/>
    <w:tblPr>
      <w:tblStyleRowBandSize w:val="1"/>
      <w:tblBorders>
        <w:right w:val="single" w:sz="4" w:space="0" w:color="C9C9C9"/>
      </w:tblBorders>
    </w:tblPr>
    <w:tblStylePr w:type="band1Vert">
      <w:tcPr>
        <w:shd w:val="clear" w:color="auto" w:fill="E8E8E8"/>
      </w:tcPr>
    </w:tblStylePr>
    <w:tblStylePr w:type="band1Horz">
      <w:rPr>
        <w:rFonts w:ascii="Arial" w:hAnsi="Arial"/>
        <w:color w:val="757575"/>
        <w:sz w:val="22"/>
      </w:rPr>
      <w:tcPr>
        <w:shd w:val="clear" w:color="auto" w:fill="E8E8E8"/>
      </w:tcPr>
    </w:tblStylePr>
    <w:tblStylePr w:type="band2Horz">
      <w:rPr>
        <w:rFonts w:ascii="Arial" w:hAnsi="Arial"/>
        <w:color w:val="757575"/>
        <w:sz w:val="22"/>
      </w:rPr>
    </w:tblStylePr>
    <w:tblStylePr w:type="firstCol">
      <w:pPr>
        <w:jc w:val="right"/>
      </w:pPr>
      <w:rPr>
        <w:rFonts w:ascii="Arial" w:hAnsi="Arial"/>
        <w:i/>
        <w:color w:val="757575"/>
        <w:sz w:val="22"/>
      </w:rPr>
      <w:tcPr>
        <w:tcBorders>
          <w:top w:val="nil" w:sz="4" w:space="0" w:color="auto"/>
          <w:left w:val="nil" w:sz="4" w:space="0" w:color="auto"/>
          <w:bottom w:val="nil" w:sz="4" w:space="0" w:color="auto"/>
          <w:right w:val="single" w:sz="4" w:space="0" w:color="C9C9C9"/>
        </w:tcBorders>
      </w:tcPr>
    </w:tblStylePr>
    <w:tblStylePr w:type="lastCol">
      <w:rPr>
        <w:rFonts w:ascii="Arial" w:hAnsi="Arial"/>
        <w:i/>
        <w:color w:val="757575"/>
        <w:sz w:val="22"/>
      </w:rPr>
      <w:tcPr>
        <w:tcBorders>
          <w:top w:val="nil" w:sz="4" w:space="0" w:color="auto"/>
          <w:left w:val="single" w:sz="4" w:space="0" w:color="C9C9C9"/>
          <w:bottom w:val="nil" w:sz="4" w:space="0" w:color="auto"/>
          <w:right w:val="nil" w:sz="4" w:space="0" w:color="auto"/>
        </w:tcBorders>
      </w:tcPr>
    </w:tblStylePr>
    <w:tblStylePr w:type="firstRow">
      <w:rPr>
        <w:rFonts w:ascii="Arial" w:hAnsi="Arial"/>
        <w:i/>
        <w:color w:val="757575"/>
        <w:sz w:val="22"/>
      </w:rPr>
      <w:tcPr>
        <w:tcBorders>
          <w:top w:val="nil" w:sz="4" w:space="0" w:color="auto"/>
          <w:left w:val="nil" w:sz="4" w:space="0" w:color="auto"/>
          <w:bottom w:val="single" w:sz="4" w:space="0" w:color="C9C9C9"/>
          <w:right w:val="nil" w:sz="4" w:space="0" w:color="auto"/>
        </w:tcBorders>
        <w:shd w:val="clear" w:color="auto" w:fill="FFFFFF"/>
      </w:tcPr>
    </w:tblStylePr>
    <w:tblStylePr w:type="lastRow">
      <w:rPr>
        <w:rFonts w:ascii="Arial" w:hAnsi="Arial"/>
        <w:i/>
        <w:color w:val="757575"/>
        <w:sz w:val="22"/>
      </w:rPr>
      <w:tcPr>
        <w:tcBorders>
          <w:top w:val="single" w:sz="4" w:space="0" w:color="C9C9C9"/>
          <w:left w:val="nil" w:sz="4" w:space="0" w:color="auto"/>
          <w:bottom w:val="nil" w:sz="4" w:space="0" w:color="auto"/>
          <w:right w:val="nil" w:sz="4" w:space="0" w:color="auto"/>
        </w:tcBorders>
        <w:shd w:val="clear" w:color="auto" w:fill="FFFFFF"/>
      </w:tcPr>
    </w:tblStylePr>
  </w:style>
  <w:style w:type="table" w:styleId="ListTable7Colorful-Accent4" w:customStyle="1">
    <w:name w:val="List Table 7 Colorful - Accent 4"/>
    <w:basedOn w:val="Tabelanormal"/>
    <w:uiPriority w:val="99"/>
    <w:tblPr>
      <w:tblStyleRowBandSize w:val="1"/>
      <w:tblBorders>
        <w:right w:val="single" w:sz="4" w:space="0" w:color="FFD865"/>
      </w:tblBorders>
    </w:tblPr>
    <w:tblStylePr w:type="band1Vert">
      <w:tcPr>
        <w:shd w:val="clear" w:color="auto" w:fill="FFEFBF"/>
      </w:tcPr>
    </w:tblStylePr>
    <w:tblStylePr w:type="band1Horz">
      <w:rPr>
        <w:rFonts w:ascii="Arial" w:hAnsi="Arial"/>
        <w:color w:val="D09D00"/>
        <w:sz w:val="22"/>
      </w:rPr>
      <w:tcPr>
        <w:shd w:val="clear" w:color="auto" w:fill="FFEFBF"/>
      </w:tcPr>
    </w:tblStylePr>
    <w:tblStylePr w:type="band2Horz">
      <w:rPr>
        <w:rFonts w:ascii="Arial" w:hAnsi="Arial"/>
        <w:color w:val="D09D00"/>
        <w:sz w:val="22"/>
      </w:rPr>
    </w:tblStylePr>
    <w:tblStylePr w:type="firstCol">
      <w:pPr>
        <w:jc w:val="right"/>
      </w:pPr>
      <w:rPr>
        <w:rFonts w:ascii="Arial" w:hAnsi="Arial"/>
        <w:i/>
        <w:color w:val="D09D00"/>
        <w:sz w:val="22"/>
      </w:rPr>
      <w:tcPr>
        <w:tcBorders>
          <w:top w:val="nil" w:sz="4" w:space="0" w:color="auto"/>
          <w:left w:val="nil" w:sz="4" w:space="0" w:color="auto"/>
          <w:bottom w:val="nil" w:sz="4" w:space="0" w:color="auto"/>
          <w:right w:val="single" w:sz="4" w:space="0" w:color="FFD865"/>
        </w:tcBorders>
      </w:tcPr>
    </w:tblStylePr>
    <w:tblStylePr w:type="lastCol">
      <w:rPr>
        <w:rFonts w:ascii="Arial" w:hAnsi="Arial"/>
        <w:i/>
        <w:color w:val="D09D00"/>
        <w:sz w:val="22"/>
      </w:rPr>
      <w:tcPr>
        <w:tcBorders>
          <w:top w:val="nil" w:sz="4" w:space="0" w:color="auto"/>
          <w:left w:val="single" w:sz="4" w:space="0" w:color="FFD865"/>
          <w:bottom w:val="nil" w:sz="4" w:space="0" w:color="auto"/>
          <w:right w:val="nil" w:sz="4" w:space="0" w:color="auto"/>
        </w:tcBorders>
      </w:tcPr>
    </w:tblStylePr>
    <w:tblStylePr w:type="firstRow">
      <w:rPr>
        <w:rFonts w:ascii="Arial" w:hAnsi="Arial"/>
        <w:i/>
        <w:color w:val="D09D00"/>
        <w:sz w:val="22"/>
      </w:rPr>
      <w:tcPr>
        <w:tcBorders>
          <w:top w:val="nil" w:sz="4" w:space="0" w:color="auto"/>
          <w:left w:val="nil" w:sz="4" w:space="0" w:color="auto"/>
          <w:bottom w:val="single" w:sz="4" w:space="0" w:color="FFD865"/>
          <w:right w:val="nil" w:sz="4" w:space="0" w:color="auto"/>
        </w:tcBorders>
        <w:shd w:val="clear" w:color="auto" w:fill="FFFFFF"/>
      </w:tcPr>
    </w:tblStylePr>
    <w:tblStylePr w:type="lastRow">
      <w:rPr>
        <w:rFonts w:ascii="Arial" w:hAnsi="Arial"/>
        <w:i/>
        <w:color w:val="D09D00"/>
        <w:sz w:val="22"/>
      </w:rPr>
      <w:tcPr>
        <w:tcBorders>
          <w:top w:val="single" w:sz="4" w:space="0" w:color="FFD865"/>
          <w:left w:val="nil" w:sz="4" w:space="0" w:color="auto"/>
          <w:bottom w:val="nil" w:sz="4" w:space="0" w:color="auto"/>
          <w:right w:val="nil" w:sz="4" w:space="0" w:color="auto"/>
        </w:tcBorders>
        <w:shd w:val="clear" w:color="auto" w:fill="FFFFFF"/>
      </w:tcPr>
    </w:tblStylePr>
  </w:style>
  <w:style w:type="table" w:styleId="ListTable7Colorful-Accent5" w:customStyle="1">
    <w:name w:val="List Table 7 Colorful - Accent 5"/>
    <w:basedOn w:val="Tabelanormal"/>
    <w:uiPriority w:val="99"/>
    <w:tblPr>
      <w:tblStyleRowBandSize w:val="1"/>
      <w:tblBorders>
        <w:right w:val="single" w:sz="4" w:space="0" w:color="9BC2E5"/>
      </w:tblBorders>
    </w:tblPr>
    <w:tblStylePr w:type="band1Vert">
      <w:tcPr>
        <w:shd w:val="clear" w:color="auto" w:fill="D6E6F4"/>
      </w:tcPr>
    </w:tblStylePr>
    <w:tblStylePr w:type="band1Horz">
      <w:rPr>
        <w:rFonts w:ascii="Arial" w:hAnsi="Arial"/>
        <w:color w:val="2D74B4"/>
        <w:sz w:val="22"/>
      </w:rPr>
      <w:tcPr>
        <w:shd w:val="clear" w:color="auto" w:fill="D6E6F4"/>
      </w:tcPr>
    </w:tblStylePr>
    <w:tblStylePr w:type="band2Horz">
      <w:rPr>
        <w:rFonts w:ascii="Arial" w:hAnsi="Arial"/>
        <w:color w:val="2D74B4"/>
        <w:sz w:val="22"/>
      </w:rPr>
    </w:tblStylePr>
    <w:tblStylePr w:type="firstCol">
      <w:pPr>
        <w:jc w:val="right"/>
      </w:pPr>
      <w:rPr>
        <w:rFonts w:ascii="Arial" w:hAnsi="Arial"/>
        <w:i/>
        <w:color w:val="2D74B4"/>
        <w:sz w:val="22"/>
      </w:rPr>
      <w:tcPr>
        <w:tcBorders>
          <w:top w:val="nil" w:sz="4" w:space="0" w:color="auto"/>
          <w:left w:val="nil" w:sz="4" w:space="0" w:color="auto"/>
          <w:bottom w:val="nil" w:sz="4" w:space="0" w:color="auto"/>
          <w:right w:val="single" w:sz="4" w:space="0" w:color="9BC2E5"/>
        </w:tcBorders>
      </w:tcPr>
    </w:tblStylePr>
    <w:tblStylePr w:type="lastCol">
      <w:rPr>
        <w:rFonts w:ascii="Arial" w:hAnsi="Arial"/>
        <w:i/>
        <w:color w:val="2D74B4"/>
        <w:sz w:val="22"/>
      </w:rPr>
      <w:tcPr>
        <w:tcBorders>
          <w:top w:val="nil" w:sz="4" w:space="0" w:color="auto"/>
          <w:left w:val="single" w:sz="4" w:space="0" w:color="9BC2E5"/>
          <w:bottom w:val="nil" w:sz="4" w:space="0" w:color="auto"/>
          <w:right w:val="nil" w:sz="4" w:space="0" w:color="auto"/>
        </w:tcBorders>
      </w:tcPr>
    </w:tblStylePr>
    <w:tblStylePr w:type="firstRow">
      <w:rPr>
        <w:rFonts w:ascii="Arial" w:hAnsi="Arial"/>
        <w:i/>
        <w:color w:val="2D74B4"/>
        <w:sz w:val="22"/>
      </w:rPr>
      <w:tcPr>
        <w:tcBorders>
          <w:top w:val="nil" w:sz="4" w:space="0" w:color="auto"/>
          <w:left w:val="nil" w:sz="4" w:space="0" w:color="auto"/>
          <w:bottom w:val="single" w:sz="4" w:space="0" w:color="9BC2E5"/>
          <w:right w:val="nil" w:sz="4" w:space="0" w:color="auto"/>
        </w:tcBorders>
        <w:shd w:val="clear" w:color="auto" w:fill="FFFFFF"/>
      </w:tcPr>
    </w:tblStylePr>
    <w:tblStylePr w:type="lastRow">
      <w:rPr>
        <w:rFonts w:ascii="Arial" w:hAnsi="Arial"/>
        <w:i/>
        <w:color w:val="2D74B4"/>
        <w:sz w:val="22"/>
      </w:rPr>
      <w:tcPr>
        <w:tcBorders>
          <w:top w:val="single" w:sz="4" w:space="0" w:color="9BC2E5"/>
          <w:left w:val="nil" w:sz="4" w:space="0" w:color="auto"/>
          <w:bottom w:val="nil" w:sz="4" w:space="0" w:color="auto"/>
          <w:right w:val="nil" w:sz="4" w:space="0" w:color="auto"/>
        </w:tcBorders>
        <w:shd w:val="clear" w:color="auto" w:fill="FFFFFF"/>
      </w:tcPr>
    </w:tblStylePr>
  </w:style>
  <w:style w:type="table" w:styleId="ListTable7Colorful-Accent6" w:customStyle="1">
    <w:name w:val="List Table 7 Colorful - Accent 6"/>
    <w:basedOn w:val="Tabelanormal"/>
    <w:uiPriority w:val="99"/>
    <w:tblPr>
      <w:tblStyleRowBandSize w:val="1"/>
      <w:tblBorders>
        <w:right w:val="single" w:sz="4" w:space="0" w:color="A9D08E"/>
      </w:tblBorders>
    </w:tblPr>
    <w:tblStylePr w:type="band1Vert">
      <w:tcPr>
        <w:shd w:val="clear" w:color="auto" w:fill="DBECD0"/>
      </w:tcPr>
    </w:tblStylePr>
    <w:tblStylePr w:type="band1Horz">
      <w:rPr>
        <w:rFonts w:ascii="Arial" w:hAnsi="Arial"/>
        <w:color w:val="5E923C"/>
        <w:sz w:val="22"/>
      </w:rPr>
      <w:tcPr>
        <w:shd w:val="clear" w:color="auto" w:fill="DBECD0"/>
      </w:tcPr>
    </w:tblStylePr>
    <w:tblStylePr w:type="band2Horz">
      <w:rPr>
        <w:rFonts w:ascii="Arial" w:hAnsi="Arial"/>
        <w:color w:val="5E923C"/>
        <w:sz w:val="22"/>
      </w:rPr>
    </w:tblStylePr>
    <w:tblStylePr w:type="firstCol">
      <w:pPr>
        <w:jc w:val="right"/>
      </w:pPr>
      <w:rPr>
        <w:rFonts w:ascii="Arial" w:hAnsi="Arial"/>
        <w:i/>
        <w:color w:val="5E923C"/>
        <w:sz w:val="22"/>
      </w:rPr>
      <w:tcPr>
        <w:tcBorders>
          <w:top w:val="nil" w:sz="4" w:space="0" w:color="auto"/>
          <w:left w:val="nil" w:sz="4" w:space="0" w:color="auto"/>
          <w:bottom w:val="nil" w:sz="4" w:space="0" w:color="auto"/>
          <w:right w:val="single" w:sz="4" w:space="0" w:color="A9D08E"/>
        </w:tcBorders>
      </w:tcPr>
    </w:tblStylePr>
    <w:tblStylePr w:type="lastCol">
      <w:rPr>
        <w:rFonts w:ascii="Arial" w:hAnsi="Arial"/>
        <w:i/>
        <w:color w:val="5E923C"/>
        <w:sz w:val="22"/>
      </w:rPr>
      <w:tcPr>
        <w:tcBorders>
          <w:top w:val="nil" w:sz="4" w:space="0" w:color="auto"/>
          <w:left w:val="single" w:sz="4" w:space="0" w:color="A9D08E"/>
          <w:bottom w:val="nil" w:sz="4" w:space="0" w:color="auto"/>
          <w:right w:val="nil" w:sz="4" w:space="0" w:color="auto"/>
        </w:tcBorders>
      </w:tcPr>
    </w:tblStylePr>
    <w:tblStylePr w:type="firstRow">
      <w:rPr>
        <w:rFonts w:ascii="Arial" w:hAnsi="Arial"/>
        <w:i/>
        <w:color w:val="5E923C"/>
        <w:sz w:val="22"/>
      </w:rPr>
      <w:tcPr>
        <w:tcBorders>
          <w:top w:val="nil" w:sz="4" w:space="0" w:color="auto"/>
          <w:left w:val="nil" w:sz="4" w:space="0" w:color="auto"/>
          <w:bottom w:val="single" w:sz="4" w:space="0" w:color="A9D08E"/>
          <w:right w:val="nil" w:sz="4" w:space="0" w:color="auto"/>
        </w:tcBorders>
        <w:shd w:val="clear" w:color="auto" w:fill="FFFFFF"/>
      </w:tcPr>
    </w:tblStylePr>
    <w:tblStylePr w:type="lastRow">
      <w:rPr>
        <w:rFonts w:ascii="Arial" w:hAnsi="Arial"/>
        <w:i/>
        <w:color w:val="5E923C"/>
        <w:sz w:val="22"/>
      </w:rPr>
      <w:tcPr>
        <w:tcBorders>
          <w:top w:val="single" w:sz="4" w:space="0" w:color="A9D08E"/>
          <w:left w:val="nil" w:sz="4" w:space="0" w:color="auto"/>
          <w:bottom w:val="nil" w:sz="4" w:space="0" w:color="auto"/>
          <w:right w:val="nil" w:sz="4" w:space="0" w:color="auto"/>
        </w:tcBorders>
        <w:shd w:val="clear" w:color="auto" w:fill="FFFFFF"/>
      </w:tcPr>
    </w:tblStylePr>
  </w:style>
  <w:style w:type="table" w:styleId="Lined-Accent" w:customStyle="1">
    <w:name w:val="Lined - Accent"/>
    <w:basedOn w:val="Tabelanormal"/>
    <w:uiPriority w:val="99"/>
    <w:rPr>
      <w:color w:val="404040"/>
    </w:rPr>
    <w:tblPr>
      <w:tblStyleRowBandSize w:val="1"/>
    </w:tblPr>
    <w:tblStylePr w:type="band1Vert">
      <w:rPr>
        <w:rFonts w:ascii="Arial" w:hAnsi="Arial"/>
        <w:color w:val="404040"/>
        <w:sz w:val="22"/>
      </w:rPr>
    </w:tblStylePr>
    <w:tblStylePr w:type="band2Vert">
      <w:rPr>
        <w:rFonts w:ascii="Arial" w:hAnsi="Arial"/>
        <w:color w:val="404040"/>
        <w:sz w:val="22"/>
      </w:rPr>
      <w:tcPr>
        <w:shd w:val="clear" w:color="auto" w:fill="F2F2F2"/>
      </w:tcPr>
    </w:tblStylePr>
    <w:tblStylePr w:type="band1Horz">
      <w:rPr>
        <w:rFonts w:ascii="Arial" w:hAnsi="Arial"/>
        <w:color w:val="404040"/>
        <w:sz w:val="22"/>
      </w:rPr>
    </w:tblStylePr>
    <w:tblStylePr w:type="band2Horz">
      <w:rPr>
        <w:rFonts w:ascii="Arial" w:hAnsi="Arial"/>
        <w:color w:val="404040"/>
        <w:sz w:val="22"/>
      </w:rPr>
      <w:tcPr>
        <w:shd w:val="clear" w:color="auto" w:fill="F2F2F2"/>
      </w:tcPr>
    </w:tblStylePr>
    <w:tblStylePr w:type="firstCol">
      <w:rPr>
        <w:rFonts w:ascii="Arial" w:hAnsi="Arial"/>
        <w:color w:val="F2F2F2"/>
        <w:sz w:val="22"/>
      </w:rPr>
      <w:tcPr>
        <w:shd w:val="clear" w:color="auto" w:fill="7F7F7F"/>
      </w:tcPr>
    </w:tblStylePr>
    <w:tblStylePr w:type="lastCol">
      <w:rPr>
        <w:rFonts w:ascii="Arial" w:hAnsi="Arial"/>
        <w:color w:val="F2F2F2"/>
        <w:sz w:val="22"/>
      </w:rPr>
      <w:tcPr>
        <w:shd w:val="clear" w:color="auto" w:fill="7F7F7F"/>
      </w:tcPr>
    </w:tblStylePr>
    <w:tblStylePr w:type="firstRow">
      <w:rPr>
        <w:rFonts w:ascii="Arial" w:hAnsi="Arial"/>
        <w:color w:val="F2F2F2"/>
        <w:sz w:val="22"/>
      </w:rPr>
      <w:tcPr>
        <w:shd w:val="clear" w:color="auto" w:fill="7F7F7F"/>
      </w:tcPr>
    </w:tblStylePr>
    <w:tblStylePr w:type="lastRow">
      <w:rPr>
        <w:rFonts w:ascii="Arial" w:hAnsi="Arial"/>
        <w:color w:val="F2F2F2"/>
        <w:sz w:val="22"/>
      </w:rPr>
      <w:tcPr>
        <w:shd w:val="clear" w:color="auto" w:fill="7F7F7F"/>
      </w:tcPr>
    </w:tblStylePr>
  </w:style>
  <w:style w:type="table" w:styleId="Lined-Accent1" w:customStyle="1">
    <w:name w:val="Lined - Accent 1"/>
    <w:basedOn w:val="Tabelanormal"/>
    <w:uiPriority w:val="99"/>
    <w:rPr>
      <w:color w:val="404040"/>
    </w:rPr>
    <w:tblPr>
      <w:tblStyleRowBandSize w:val="1"/>
    </w:tblPr>
    <w:tblStylePr w:type="band1Vert">
      <w:rPr>
        <w:rFonts w:ascii="Arial" w:hAnsi="Arial"/>
        <w:color w:val="404040"/>
        <w:sz w:val="22"/>
      </w:rPr>
    </w:tblStylePr>
    <w:tblStylePr w:type="band2Vert">
      <w:rPr>
        <w:rFonts w:ascii="Arial" w:hAnsi="Arial"/>
        <w:color w:val="404040"/>
        <w:sz w:val="22"/>
      </w:rPr>
      <w:tcPr>
        <w:shd w:val="clear" w:color="auto" w:fill="C4D3EC"/>
      </w:tcPr>
    </w:tblStylePr>
    <w:tblStylePr w:type="band1Horz">
      <w:rPr>
        <w:rFonts w:ascii="Arial" w:hAnsi="Arial"/>
        <w:color w:val="404040"/>
        <w:sz w:val="22"/>
      </w:rPr>
    </w:tblStylePr>
    <w:tblStylePr w:type="band2Horz">
      <w:rPr>
        <w:rFonts w:ascii="Arial" w:hAnsi="Arial"/>
        <w:color w:val="404040"/>
        <w:sz w:val="22"/>
      </w:rPr>
      <w:tcPr>
        <w:shd w:val="clear" w:color="auto" w:fill="C4D3EC"/>
      </w:tcPr>
    </w:tblStylePr>
    <w:tblStylePr w:type="firstCol">
      <w:rPr>
        <w:rFonts w:ascii="Arial" w:hAnsi="Arial"/>
        <w:color w:val="F2F2F2"/>
        <w:sz w:val="22"/>
      </w:rPr>
      <w:tcPr>
        <w:shd w:val="clear" w:color="auto" w:fill="537EC9"/>
      </w:tcPr>
    </w:tblStylePr>
    <w:tblStylePr w:type="lastCol">
      <w:rPr>
        <w:rFonts w:ascii="Arial" w:hAnsi="Arial"/>
        <w:color w:val="F2F2F2"/>
        <w:sz w:val="22"/>
      </w:rPr>
      <w:tcPr>
        <w:shd w:val="clear" w:color="auto" w:fill="537EC9"/>
      </w:tcPr>
    </w:tblStylePr>
    <w:tblStylePr w:type="firstRow">
      <w:rPr>
        <w:rFonts w:ascii="Arial" w:hAnsi="Arial"/>
        <w:color w:val="F2F2F2"/>
        <w:sz w:val="22"/>
      </w:rPr>
      <w:tcPr>
        <w:shd w:val="clear" w:color="auto" w:fill="537EC9"/>
      </w:tcPr>
    </w:tblStylePr>
    <w:tblStylePr w:type="lastRow">
      <w:rPr>
        <w:rFonts w:ascii="Arial" w:hAnsi="Arial"/>
        <w:color w:val="F2F2F2"/>
        <w:sz w:val="22"/>
      </w:rPr>
      <w:tcPr>
        <w:shd w:val="clear" w:color="auto" w:fill="537EC9"/>
      </w:tcPr>
    </w:tblStylePr>
  </w:style>
  <w:style w:type="table" w:styleId="Lined-Accent2" w:customStyle="1">
    <w:name w:val="Lined - Accent 2"/>
    <w:basedOn w:val="Tabelanormal"/>
    <w:uiPriority w:val="99"/>
    <w:rPr>
      <w:color w:val="404040"/>
    </w:rPr>
    <w:tblPr>
      <w:tblStyleRowBandSize w:val="1"/>
    </w:tblPr>
    <w:tblStylePr w:type="band1Vert">
      <w:rPr>
        <w:rFonts w:ascii="Arial" w:hAnsi="Arial"/>
        <w:color w:val="404040"/>
        <w:sz w:val="22"/>
      </w:rPr>
    </w:tblStylePr>
    <w:tblStylePr w:type="band2Vert">
      <w:rPr>
        <w:rFonts w:ascii="Arial" w:hAnsi="Arial"/>
        <w:color w:val="404040"/>
        <w:sz w:val="22"/>
      </w:rPr>
      <w:tcPr>
        <w:shd w:val="clear" w:color="auto" w:fill="FBE6D7"/>
      </w:tcPr>
    </w:tblStylePr>
    <w:tblStylePr w:type="band1Horz">
      <w:rPr>
        <w:rFonts w:ascii="Arial" w:hAnsi="Arial"/>
        <w:color w:val="404040"/>
        <w:sz w:val="22"/>
      </w:rPr>
    </w:tblStylePr>
    <w:tblStylePr w:type="band2Horz">
      <w:rPr>
        <w:rFonts w:ascii="Arial" w:hAnsi="Arial"/>
        <w:color w:val="404040"/>
        <w:sz w:val="22"/>
      </w:rPr>
      <w:tcPr>
        <w:shd w:val="clear" w:color="auto" w:fill="FBE6D7"/>
      </w:tcPr>
    </w:tblStylePr>
    <w:tblStylePr w:type="firstCol">
      <w:rPr>
        <w:rFonts w:ascii="Arial" w:hAnsi="Arial"/>
        <w:color w:val="F2F2F2"/>
        <w:sz w:val="22"/>
      </w:rPr>
      <w:tcPr>
        <w:shd w:val="clear" w:color="auto" w:fill="F4B285"/>
      </w:tcPr>
    </w:tblStylePr>
    <w:tblStylePr w:type="lastCol">
      <w:rPr>
        <w:rFonts w:ascii="Arial" w:hAnsi="Arial"/>
        <w:color w:val="F2F2F2"/>
        <w:sz w:val="22"/>
      </w:rPr>
      <w:tcPr>
        <w:shd w:val="clear" w:color="auto" w:fill="F4B285"/>
      </w:tcPr>
    </w:tblStylePr>
    <w:tblStylePr w:type="firstRow">
      <w:rPr>
        <w:rFonts w:ascii="Arial" w:hAnsi="Arial"/>
        <w:color w:val="F2F2F2"/>
        <w:sz w:val="22"/>
      </w:rPr>
      <w:tcPr>
        <w:shd w:val="clear" w:color="auto" w:fill="F4B285"/>
      </w:tcPr>
    </w:tblStylePr>
    <w:tblStylePr w:type="lastRow">
      <w:rPr>
        <w:rFonts w:ascii="Arial" w:hAnsi="Arial"/>
        <w:color w:val="F2F2F2"/>
        <w:sz w:val="22"/>
      </w:rPr>
      <w:tcPr>
        <w:shd w:val="clear" w:color="auto" w:fill="F4B285"/>
      </w:tcPr>
    </w:tblStylePr>
  </w:style>
  <w:style w:type="table" w:styleId="Lined-Accent3" w:customStyle="1">
    <w:name w:val="Lined - Accent 3"/>
    <w:basedOn w:val="Tabelanormal"/>
    <w:uiPriority w:val="99"/>
    <w:rPr>
      <w:color w:val="404040"/>
    </w:rPr>
    <w:tblPr>
      <w:tblStyleRowBandSize w:val="1"/>
    </w:tblPr>
    <w:tblStylePr w:type="band1Vert">
      <w:rPr>
        <w:rFonts w:ascii="Arial" w:hAnsi="Arial"/>
        <w:color w:val="404040"/>
        <w:sz w:val="22"/>
      </w:rPr>
    </w:tblStylePr>
    <w:tblStylePr w:type="band2Vert">
      <w:rPr>
        <w:rFonts w:ascii="Arial" w:hAnsi="Arial"/>
        <w:color w:val="404040"/>
        <w:sz w:val="22"/>
      </w:rPr>
      <w:tcPr>
        <w:shd w:val="clear" w:color="auto" w:fill="EDEDED"/>
      </w:tcPr>
    </w:tblStylePr>
    <w:tblStylePr w:type="band1Horz">
      <w:rPr>
        <w:rFonts w:ascii="Arial" w:hAnsi="Arial"/>
        <w:color w:val="404040"/>
        <w:sz w:val="22"/>
      </w:rPr>
    </w:tblStylePr>
    <w:tblStylePr w:type="band2Horz">
      <w:rPr>
        <w:rFonts w:ascii="Arial" w:hAnsi="Arial"/>
        <w:color w:val="404040"/>
        <w:sz w:val="22"/>
      </w:rPr>
      <w:tcPr>
        <w:shd w:val="clear" w:color="auto" w:fill="EDEDED"/>
      </w:tcPr>
    </w:tblStylePr>
    <w:tblStylePr w:type="firstCol">
      <w:rPr>
        <w:rFonts w:ascii="Arial" w:hAnsi="Arial"/>
        <w:color w:val="F2F2F2"/>
        <w:sz w:val="22"/>
      </w:rPr>
      <w:tcPr>
        <w:shd w:val="clear" w:color="auto" w:fill="A5A5A5"/>
      </w:tcPr>
    </w:tblStylePr>
    <w:tblStylePr w:type="lastCol">
      <w:rPr>
        <w:rFonts w:ascii="Arial" w:hAnsi="Arial"/>
        <w:color w:val="F2F2F2"/>
        <w:sz w:val="22"/>
      </w:rPr>
      <w:tcPr>
        <w:shd w:val="clear" w:color="auto" w:fill="A5A5A5"/>
      </w:tcPr>
    </w:tblStylePr>
    <w:tblStylePr w:type="firstRow">
      <w:rPr>
        <w:rFonts w:ascii="Arial" w:hAnsi="Arial"/>
        <w:color w:val="F2F2F2"/>
        <w:sz w:val="22"/>
      </w:rPr>
      <w:tcPr>
        <w:shd w:val="clear" w:color="auto" w:fill="A5A5A5"/>
      </w:tcPr>
    </w:tblStylePr>
    <w:tblStylePr w:type="lastRow">
      <w:rPr>
        <w:rFonts w:ascii="Arial" w:hAnsi="Arial"/>
        <w:color w:val="F2F2F2"/>
        <w:sz w:val="22"/>
      </w:rPr>
      <w:tcPr>
        <w:shd w:val="clear" w:color="auto" w:fill="A5A5A5"/>
      </w:tcPr>
    </w:tblStylePr>
  </w:style>
  <w:style w:type="table" w:styleId="Lined-Accent4" w:customStyle="1">
    <w:name w:val="Lined - Accent 4"/>
    <w:basedOn w:val="Tabelanormal"/>
    <w:uiPriority w:val="99"/>
    <w:rPr>
      <w:color w:val="404040"/>
    </w:rPr>
    <w:tblPr>
      <w:tblStyleRowBandSize w:val="1"/>
    </w:tblPr>
    <w:tblStylePr w:type="band1Vert">
      <w:rPr>
        <w:rFonts w:ascii="Arial" w:hAnsi="Arial"/>
        <w:color w:val="404040"/>
        <w:sz w:val="22"/>
      </w:rPr>
    </w:tblStylePr>
    <w:tblStylePr w:type="band2Vert">
      <w:rPr>
        <w:rFonts w:ascii="Arial" w:hAnsi="Arial"/>
        <w:color w:val="404040"/>
        <w:sz w:val="22"/>
      </w:rPr>
      <w:tcPr>
        <w:shd w:val="clear" w:color="auto" w:fill="FFF2CB"/>
      </w:tcPr>
    </w:tblStylePr>
    <w:tblStylePr w:type="band1Horz">
      <w:rPr>
        <w:rFonts w:ascii="Arial" w:hAnsi="Arial"/>
        <w:color w:val="404040"/>
        <w:sz w:val="22"/>
      </w:rPr>
    </w:tblStylePr>
    <w:tblStylePr w:type="band2Horz">
      <w:rPr>
        <w:rFonts w:ascii="Arial" w:hAnsi="Arial"/>
        <w:color w:val="404040"/>
        <w:sz w:val="22"/>
      </w:rPr>
      <w:tcPr>
        <w:shd w:val="clear" w:color="auto" w:fill="FFF2CB"/>
      </w:tcPr>
    </w:tblStylePr>
    <w:tblStylePr w:type="firstCol">
      <w:rPr>
        <w:rFonts w:ascii="Arial" w:hAnsi="Arial"/>
        <w:color w:val="F2F2F2"/>
        <w:sz w:val="22"/>
      </w:rPr>
      <w:tcPr>
        <w:shd w:val="clear" w:color="auto" w:fill="FFD965"/>
      </w:tcPr>
    </w:tblStylePr>
    <w:tblStylePr w:type="lastCol">
      <w:rPr>
        <w:rFonts w:ascii="Arial" w:hAnsi="Arial"/>
        <w:color w:val="F2F2F2"/>
        <w:sz w:val="22"/>
      </w:rPr>
      <w:tcPr>
        <w:shd w:val="clear" w:color="auto" w:fill="FFD965"/>
      </w:tcPr>
    </w:tblStylePr>
    <w:tblStylePr w:type="firstRow">
      <w:rPr>
        <w:rFonts w:ascii="Arial" w:hAnsi="Arial"/>
        <w:color w:val="F2F2F2"/>
        <w:sz w:val="22"/>
      </w:rPr>
      <w:tcPr>
        <w:shd w:val="clear" w:color="auto" w:fill="FFD965"/>
      </w:tcPr>
    </w:tblStylePr>
    <w:tblStylePr w:type="lastRow">
      <w:rPr>
        <w:rFonts w:ascii="Arial" w:hAnsi="Arial"/>
        <w:color w:val="F2F2F2"/>
        <w:sz w:val="22"/>
      </w:rPr>
      <w:tcPr>
        <w:shd w:val="clear" w:color="auto" w:fill="FFD965"/>
      </w:tcPr>
    </w:tblStylePr>
  </w:style>
  <w:style w:type="table" w:styleId="Lined-Accent5" w:customStyle="1">
    <w:name w:val="Lined - Accent 5"/>
    <w:basedOn w:val="Tabelanormal"/>
    <w:uiPriority w:val="99"/>
    <w:rPr>
      <w:color w:val="404040"/>
    </w:rPr>
    <w:tblPr>
      <w:tblStyleRowBandSize w:val="1"/>
    </w:tblPr>
    <w:tblStylePr w:type="band1Vert">
      <w:rPr>
        <w:rFonts w:ascii="Arial" w:hAnsi="Arial"/>
        <w:color w:val="404040"/>
        <w:sz w:val="22"/>
      </w:rPr>
    </w:tblStylePr>
    <w:tblStylePr w:type="band2Vert">
      <w:rPr>
        <w:rFonts w:ascii="Arial" w:hAnsi="Arial"/>
        <w:color w:val="404040"/>
        <w:sz w:val="22"/>
      </w:rPr>
      <w:tcPr>
        <w:shd w:val="clear" w:color="auto" w:fill="DEEBF6"/>
      </w:tcPr>
    </w:tblStylePr>
    <w:tblStylePr w:type="band1Horz">
      <w:rPr>
        <w:rFonts w:ascii="Arial" w:hAnsi="Arial"/>
        <w:color w:val="404040"/>
        <w:sz w:val="22"/>
      </w:rPr>
    </w:tblStylePr>
    <w:tblStylePr w:type="band2Horz">
      <w:rPr>
        <w:rFonts w:ascii="Arial" w:hAnsi="Arial"/>
        <w:color w:val="404040"/>
        <w:sz w:val="22"/>
      </w:rPr>
      <w:tcPr>
        <w:shd w:val="clear" w:color="auto" w:fill="DEEBF6"/>
      </w:tcPr>
    </w:tblStylePr>
    <w:tblStylePr w:type="firstCol">
      <w:rPr>
        <w:rFonts w:ascii="Arial" w:hAnsi="Arial"/>
        <w:color w:val="F2F2F2"/>
        <w:sz w:val="22"/>
      </w:rPr>
      <w:tcPr>
        <w:shd w:val="clear" w:color="auto" w:fill="5B9BD5"/>
      </w:tcPr>
    </w:tblStylePr>
    <w:tblStylePr w:type="lastCol">
      <w:rPr>
        <w:rFonts w:ascii="Arial" w:hAnsi="Arial"/>
        <w:color w:val="F2F2F2"/>
        <w:sz w:val="22"/>
      </w:rPr>
      <w:tcPr>
        <w:shd w:val="clear" w:color="auto" w:fill="5B9BD5"/>
      </w:tcPr>
    </w:tblStylePr>
    <w:tblStylePr w:type="firstRow">
      <w:rPr>
        <w:rFonts w:ascii="Arial" w:hAnsi="Arial"/>
        <w:color w:val="F2F2F2"/>
        <w:sz w:val="22"/>
      </w:rPr>
      <w:tcPr>
        <w:shd w:val="clear" w:color="auto" w:fill="5B9BD5"/>
      </w:tcPr>
    </w:tblStylePr>
    <w:tblStylePr w:type="lastRow">
      <w:rPr>
        <w:rFonts w:ascii="Arial" w:hAnsi="Arial"/>
        <w:color w:val="F2F2F2"/>
        <w:sz w:val="22"/>
      </w:rPr>
      <w:tcPr>
        <w:shd w:val="clear" w:color="auto" w:fill="5B9BD5"/>
      </w:tcPr>
    </w:tblStylePr>
  </w:style>
  <w:style w:type="table" w:styleId="Lined-Accent6" w:customStyle="1">
    <w:name w:val="Lined - Accent 6"/>
    <w:basedOn w:val="Tabelanormal"/>
    <w:uiPriority w:val="99"/>
    <w:rPr>
      <w:color w:val="404040"/>
    </w:rPr>
    <w:tblPr>
      <w:tblStyleRowBandSize w:val="1"/>
    </w:tblPr>
    <w:tblStylePr w:type="band1Vert">
      <w:rPr>
        <w:rFonts w:ascii="Arial" w:hAnsi="Arial"/>
        <w:color w:val="404040"/>
        <w:sz w:val="22"/>
      </w:rPr>
    </w:tblStylePr>
    <w:tblStylePr w:type="band2Vert">
      <w:rPr>
        <w:rFonts w:ascii="Arial" w:hAnsi="Arial"/>
        <w:color w:val="404040"/>
        <w:sz w:val="22"/>
      </w:rPr>
      <w:tcPr>
        <w:shd w:val="clear" w:color="auto" w:fill="E2EFD9"/>
      </w:tcPr>
    </w:tblStylePr>
    <w:tblStylePr w:type="band1Horz">
      <w:rPr>
        <w:rFonts w:ascii="Arial" w:hAnsi="Arial"/>
        <w:color w:val="404040"/>
        <w:sz w:val="22"/>
      </w:rPr>
    </w:tblStylePr>
    <w:tblStylePr w:type="band2Horz">
      <w:rPr>
        <w:rFonts w:ascii="Arial" w:hAnsi="Arial"/>
        <w:color w:val="404040"/>
        <w:sz w:val="22"/>
      </w:rPr>
      <w:tcPr>
        <w:shd w:val="clear" w:color="auto" w:fill="E2EFD9"/>
      </w:tcPr>
    </w:tblStylePr>
    <w:tblStylePr w:type="firstCol">
      <w:rPr>
        <w:rFonts w:ascii="Arial" w:hAnsi="Arial"/>
        <w:color w:val="F2F2F2"/>
        <w:sz w:val="22"/>
      </w:rPr>
      <w:tcPr>
        <w:shd w:val="clear" w:color="auto" w:fill="70AD47"/>
      </w:tcPr>
    </w:tblStylePr>
    <w:tblStylePr w:type="lastCol">
      <w:rPr>
        <w:rFonts w:ascii="Arial" w:hAnsi="Arial"/>
        <w:color w:val="F2F2F2"/>
        <w:sz w:val="22"/>
      </w:rPr>
      <w:tcPr>
        <w:shd w:val="clear" w:color="auto" w:fill="70AD47"/>
      </w:tcPr>
    </w:tblStylePr>
    <w:tblStylePr w:type="firstRow">
      <w:rPr>
        <w:rFonts w:ascii="Arial" w:hAnsi="Arial"/>
        <w:color w:val="F2F2F2"/>
        <w:sz w:val="22"/>
      </w:rPr>
      <w:tcPr>
        <w:shd w:val="clear" w:color="auto" w:fill="70AD47"/>
      </w:tcPr>
    </w:tblStylePr>
    <w:tblStylePr w:type="lastRow">
      <w:rPr>
        <w:rFonts w:ascii="Arial" w:hAnsi="Arial"/>
        <w:color w:val="F2F2F2"/>
        <w:sz w:val="22"/>
      </w:rPr>
      <w:tcPr>
        <w:shd w:val="clear" w:color="auto" w:fill="70AD47"/>
      </w:tcPr>
    </w:tblStylePr>
  </w:style>
  <w:style w:type="table" w:styleId="BorderedLined-Accent" w:customStyle="1">
    <w:name w:val="Bordered &amp; Lined - Accent"/>
    <w:basedOn w:val="Tabelanormal"/>
    <w:uiPriority w:val="99"/>
    <w:rPr>
      <w:color w:val="404040"/>
    </w:rPr>
    <w:tblPr>
      <w:tblStyleRow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band1Vert">
      <w:rPr>
        <w:rFonts w:ascii="Arial" w:hAnsi="Arial"/>
        <w:color w:val="404040"/>
        <w:sz w:val="22"/>
      </w:rPr>
    </w:tblStylePr>
    <w:tblStylePr w:type="band2Vert">
      <w:rPr>
        <w:rFonts w:ascii="Arial" w:hAnsi="Arial"/>
        <w:color w:val="404040"/>
        <w:sz w:val="22"/>
      </w:rPr>
      <w:tcPr>
        <w:shd w:val="clear" w:color="auto" w:fill="F2F2F2"/>
      </w:tcPr>
    </w:tblStylePr>
    <w:tblStylePr w:type="band1Horz">
      <w:rPr>
        <w:rFonts w:ascii="Arial" w:hAnsi="Arial"/>
        <w:color w:val="404040"/>
        <w:sz w:val="22"/>
      </w:rPr>
    </w:tblStylePr>
    <w:tblStylePr w:type="band2Horz">
      <w:rPr>
        <w:rFonts w:ascii="Arial" w:hAnsi="Arial"/>
        <w:color w:val="404040"/>
        <w:sz w:val="22"/>
      </w:rPr>
      <w:tcPr>
        <w:shd w:val="clear" w:color="auto" w:fill="F2F2F2"/>
      </w:tcPr>
    </w:tblStylePr>
    <w:tblStylePr w:type="firstCol">
      <w:rPr>
        <w:rFonts w:ascii="Arial" w:hAnsi="Arial"/>
        <w:color w:val="F2F2F2"/>
        <w:sz w:val="22"/>
      </w:rPr>
      <w:tcPr>
        <w:shd w:val="clear" w:color="auto" w:fill="7F7F7F"/>
      </w:tcPr>
    </w:tblStylePr>
    <w:tblStylePr w:type="lastCol">
      <w:rPr>
        <w:rFonts w:ascii="Arial" w:hAnsi="Arial"/>
        <w:color w:val="F2F2F2"/>
        <w:sz w:val="22"/>
      </w:rPr>
      <w:tcPr>
        <w:shd w:val="clear" w:color="auto" w:fill="7F7F7F"/>
      </w:tcPr>
    </w:tblStylePr>
    <w:tblStylePr w:type="firstRow">
      <w:rPr>
        <w:rFonts w:ascii="Arial" w:hAnsi="Arial"/>
        <w:color w:val="F2F2F2"/>
        <w:sz w:val="22"/>
      </w:rPr>
      <w:tcPr>
        <w:shd w:val="clear" w:color="auto" w:fill="7F7F7F"/>
      </w:tcPr>
    </w:tblStylePr>
    <w:tblStylePr w:type="lastRow">
      <w:rPr>
        <w:rFonts w:ascii="Arial" w:hAnsi="Arial"/>
        <w:color w:val="F2F2F2"/>
        <w:sz w:val="22"/>
      </w:rPr>
      <w:tcPr>
        <w:shd w:val="clear" w:color="auto" w:fill="7F7F7F"/>
      </w:tcPr>
    </w:tblStylePr>
  </w:style>
  <w:style w:type="table" w:styleId="BorderedLined-Accent1" w:customStyle="1">
    <w:name w:val="Bordered &amp; Lined - Accent 1"/>
    <w:basedOn w:val="Tabelanormal"/>
    <w:uiPriority w:val="99"/>
    <w:rPr>
      <w:color w:val="404040"/>
    </w:rPr>
    <w:tblPr>
      <w:tblStyleRowBandSize w:val="1"/>
      <w:tblBorders>
        <w:top w:val="single" w:sz="4" w:space="0" w:color="254175"/>
        <w:left w:val="single" w:sz="4" w:space="0" w:color="254175"/>
        <w:bottom w:val="single" w:sz="4" w:space="0" w:color="254175"/>
        <w:right w:val="single" w:sz="4" w:space="0" w:color="254175"/>
        <w:insideH w:val="single" w:sz="4" w:space="0" w:color="254175"/>
        <w:insideV w:val="single" w:sz="4" w:space="0" w:color="254175"/>
      </w:tblBorders>
    </w:tblPr>
    <w:tblStylePr w:type="band1Vert">
      <w:rPr>
        <w:rFonts w:ascii="Arial" w:hAnsi="Arial"/>
        <w:color w:val="404040"/>
        <w:sz w:val="22"/>
      </w:rPr>
    </w:tblStylePr>
    <w:tblStylePr w:type="band2Vert">
      <w:rPr>
        <w:rFonts w:ascii="Arial" w:hAnsi="Arial"/>
        <w:color w:val="404040"/>
        <w:sz w:val="22"/>
      </w:rPr>
      <w:tcPr>
        <w:shd w:val="clear" w:color="auto" w:fill="C4D3EC"/>
      </w:tcPr>
    </w:tblStylePr>
    <w:tblStylePr w:type="band1Horz">
      <w:rPr>
        <w:rFonts w:ascii="Arial" w:hAnsi="Arial"/>
        <w:color w:val="404040"/>
        <w:sz w:val="22"/>
      </w:rPr>
    </w:tblStylePr>
    <w:tblStylePr w:type="band2Horz">
      <w:rPr>
        <w:rFonts w:ascii="Arial" w:hAnsi="Arial"/>
        <w:color w:val="404040"/>
        <w:sz w:val="22"/>
      </w:rPr>
      <w:tcPr>
        <w:shd w:val="clear" w:color="auto" w:fill="C4D3EC"/>
      </w:tcPr>
    </w:tblStylePr>
    <w:tblStylePr w:type="firstCol">
      <w:rPr>
        <w:rFonts w:ascii="Arial" w:hAnsi="Arial"/>
        <w:color w:val="F2F2F2"/>
        <w:sz w:val="22"/>
      </w:rPr>
      <w:tcPr>
        <w:shd w:val="clear" w:color="auto" w:fill="537EC9"/>
      </w:tcPr>
    </w:tblStylePr>
    <w:tblStylePr w:type="lastCol">
      <w:rPr>
        <w:rFonts w:ascii="Arial" w:hAnsi="Arial"/>
        <w:color w:val="F2F2F2"/>
        <w:sz w:val="22"/>
      </w:rPr>
      <w:tcPr>
        <w:shd w:val="clear" w:color="auto" w:fill="537EC9"/>
      </w:tcPr>
    </w:tblStylePr>
    <w:tblStylePr w:type="firstRow">
      <w:rPr>
        <w:rFonts w:ascii="Arial" w:hAnsi="Arial"/>
        <w:color w:val="F2F2F2"/>
        <w:sz w:val="22"/>
      </w:rPr>
      <w:tcPr>
        <w:shd w:val="clear" w:color="auto" w:fill="537EC9"/>
      </w:tcPr>
    </w:tblStylePr>
    <w:tblStylePr w:type="lastRow">
      <w:rPr>
        <w:rFonts w:ascii="Arial" w:hAnsi="Arial"/>
        <w:color w:val="F2F2F2"/>
        <w:sz w:val="22"/>
      </w:rPr>
      <w:tcPr>
        <w:shd w:val="clear" w:color="auto" w:fill="537EC9"/>
      </w:tcPr>
    </w:tblStylePr>
  </w:style>
  <w:style w:type="table" w:styleId="BorderedLined-Accent2" w:customStyle="1">
    <w:name w:val="Bordered &amp; Lined - Accent 2"/>
    <w:basedOn w:val="Tabelanormal"/>
    <w:uiPriority w:val="99"/>
    <w:rPr>
      <w:color w:val="404040"/>
    </w:rPr>
    <w:tblPr>
      <w:tblStyleRowBandSize w:val="1"/>
      <w:tblBorders>
        <w:top w:val="single" w:sz="4" w:space="0" w:color="99460D"/>
        <w:left w:val="single" w:sz="4" w:space="0" w:color="99460D"/>
        <w:bottom w:val="single" w:sz="4" w:space="0" w:color="99460D"/>
        <w:right w:val="single" w:sz="4" w:space="0" w:color="99460D"/>
        <w:insideH w:val="single" w:sz="4" w:space="0" w:color="99460D"/>
        <w:insideV w:val="single" w:sz="4" w:space="0" w:color="99460D"/>
      </w:tblBorders>
    </w:tblPr>
    <w:tblStylePr w:type="band1Vert">
      <w:rPr>
        <w:rFonts w:ascii="Arial" w:hAnsi="Arial"/>
        <w:color w:val="404040"/>
        <w:sz w:val="22"/>
      </w:rPr>
    </w:tblStylePr>
    <w:tblStylePr w:type="band2Vert">
      <w:rPr>
        <w:rFonts w:ascii="Arial" w:hAnsi="Arial"/>
        <w:color w:val="404040"/>
        <w:sz w:val="22"/>
      </w:rPr>
      <w:tcPr>
        <w:shd w:val="clear" w:color="auto" w:fill="FBE6D7"/>
      </w:tcPr>
    </w:tblStylePr>
    <w:tblStylePr w:type="band1Horz">
      <w:rPr>
        <w:rFonts w:ascii="Arial" w:hAnsi="Arial"/>
        <w:color w:val="404040"/>
        <w:sz w:val="22"/>
      </w:rPr>
    </w:tblStylePr>
    <w:tblStylePr w:type="band2Horz">
      <w:rPr>
        <w:rFonts w:ascii="Arial" w:hAnsi="Arial"/>
        <w:color w:val="404040"/>
        <w:sz w:val="22"/>
      </w:rPr>
      <w:tcPr>
        <w:shd w:val="clear" w:color="auto" w:fill="FBE6D7"/>
      </w:tcPr>
    </w:tblStylePr>
    <w:tblStylePr w:type="firstCol">
      <w:rPr>
        <w:rFonts w:ascii="Arial" w:hAnsi="Arial"/>
        <w:color w:val="F2F2F2"/>
        <w:sz w:val="22"/>
      </w:rPr>
      <w:tcPr>
        <w:shd w:val="clear" w:color="auto" w:fill="F4B285"/>
      </w:tcPr>
    </w:tblStylePr>
    <w:tblStylePr w:type="lastCol">
      <w:rPr>
        <w:rFonts w:ascii="Arial" w:hAnsi="Arial"/>
        <w:color w:val="F2F2F2"/>
        <w:sz w:val="22"/>
      </w:rPr>
      <w:tcPr>
        <w:shd w:val="clear" w:color="auto" w:fill="F4B285"/>
      </w:tcPr>
    </w:tblStylePr>
    <w:tblStylePr w:type="firstRow">
      <w:rPr>
        <w:rFonts w:ascii="Arial" w:hAnsi="Arial"/>
        <w:color w:val="F2F2F2"/>
        <w:sz w:val="22"/>
      </w:rPr>
      <w:tcPr>
        <w:shd w:val="clear" w:color="auto" w:fill="F4B285"/>
      </w:tcPr>
    </w:tblStylePr>
    <w:tblStylePr w:type="lastRow">
      <w:rPr>
        <w:rFonts w:ascii="Arial" w:hAnsi="Arial"/>
        <w:color w:val="F2F2F2"/>
        <w:sz w:val="22"/>
      </w:rPr>
      <w:tcPr>
        <w:shd w:val="clear" w:color="auto" w:fill="F4B285"/>
      </w:tcPr>
    </w:tblStylePr>
  </w:style>
  <w:style w:type="table" w:styleId="BorderedLined-Accent3" w:customStyle="1">
    <w:name w:val="Bordered &amp; Lined - Accent 3"/>
    <w:basedOn w:val="Tabelanormal"/>
    <w:uiPriority w:val="99"/>
    <w:rPr>
      <w:color w:val="404040"/>
    </w:rPr>
    <w:tblPr>
      <w:tblStyleRowBandSize w:val="1"/>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StylePr w:type="band1Vert">
      <w:rPr>
        <w:rFonts w:ascii="Arial" w:hAnsi="Arial"/>
        <w:color w:val="404040"/>
        <w:sz w:val="22"/>
      </w:rPr>
    </w:tblStylePr>
    <w:tblStylePr w:type="band2Vert">
      <w:rPr>
        <w:rFonts w:ascii="Arial" w:hAnsi="Arial"/>
        <w:color w:val="404040"/>
        <w:sz w:val="22"/>
      </w:rPr>
      <w:tcPr>
        <w:shd w:val="clear" w:color="auto" w:fill="EDEDED"/>
      </w:tcPr>
    </w:tblStylePr>
    <w:tblStylePr w:type="band1Horz">
      <w:rPr>
        <w:rFonts w:ascii="Arial" w:hAnsi="Arial"/>
        <w:color w:val="404040"/>
        <w:sz w:val="22"/>
      </w:rPr>
    </w:tblStylePr>
    <w:tblStylePr w:type="band2Horz">
      <w:rPr>
        <w:rFonts w:ascii="Arial" w:hAnsi="Arial"/>
        <w:color w:val="404040"/>
        <w:sz w:val="22"/>
      </w:rPr>
      <w:tcPr>
        <w:shd w:val="clear" w:color="auto" w:fill="EDEDED"/>
      </w:tcPr>
    </w:tblStylePr>
    <w:tblStylePr w:type="firstCol">
      <w:rPr>
        <w:rFonts w:ascii="Arial" w:hAnsi="Arial"/>
        <w:color w:val="F2F2F2"/>
        <w:sz w:val="22"/>
      </w:rPr>
      <w:tcPr>
        <w:shd w:val="clear" w:color="auto" w:fill="A5A5A5"/>
      </w:tcPr>
    </w:tblStylePr>
    <w:tblStylePr w:type="lastCol">
      <w:rPr>
        <w:rFonts w:ascii="Arial" w:hAnsi="Arial"/>
        <w:color w:val="F2F2F2"/>
        <w:sz w:val="22"/>
      </w:rPr>
      <w:tcPr>
        <w:shd w:val="clear" w:color="auto" w:fill="A5A5A5"/>
      </w:tcPr>
    </w:tblStylePr>
    <w:tblStylePr w:type="firstRow">
      <w:rPr>
        <w:rFonts w:ascii="Arial" w:hAnsi="Arial"/>
        <w:color w:val="F2F2F2"/>
        <w:sz w:val="22"/>
      </w:rPr>
      <w:tcPr>
        <w:shd w:val="clear" w:color="auto" w:fill="A5A5A5"/>
      </w:tcPr>
    </w:tblStylePr>
    <w:tblStylePr w:type="lastRow">
      <w:rPr>
        <w:rFonts w:ascii="Arial" w:hAnsi="Arial"/>
        <w:color w:val="F2F2F2"/>
        <w:sz w:val="22"/>
      </w:rPr>
      <w:tcPr>
        <w:shd w:val="clear" w:color="auto" w:fill="A5A5A5"/>
      </w:tcPr>
    </w:tblStylePr>
  </w:style>
  <w:style w:type="table" w:styleId="BorderedLined-Accent4" w:customStyle="1">
    <w:name w:val="Bordered &amp; Lined - Accent 4"/>
    <w:basedOn w:val="Tabelanormal"/>
    <w:uiPriority w:val="99"/>
    <w:rPr>
      <w:color w:val="404040"/>
    </w:rPr>
    <w:tblPr>
      <w:tblStyleRowBandSize w:val="1"/>
      <w:tblBorders>
        <w:top w:val="single" w:sz="4" w:space="0" w:color="957000"/>
        <w:left w:val="single" w:sz="4" w:space="0" w:color="957000"/>
        <w:bottom w:val="single" w:sz="4" w:space="0" w:color="957000"/>
        <w:right w:val="single" w:sz="4" w:space="0" w:color="957000"/>
        <w:insideH w:val="single" w:sz="4" w:space="0" w:color="957000"/>
        <w:insideV w:val="single" w:sz="4" w:space="0" w:color="957000"/>
      </w:tblBorders>
    </w:tblPr>
    <w:tblStylePr w:type="band1Vert">
      <w:rPr>
        <w:rFonts w:ascii="Arial" w:hAnsi="Arial"/>
        <w:color w:val="404040"/>
        <w:sz w:val="22"/>
      </w:rPr>
    </w:tblStylePr>
    <w:tblStylePr w:type="band2Vert">
      <w:rPr>
        <w:rFonts w:ascii="Arial" w:hAnsi="Arial"/>
        <w:color w:val="404040"/>
        <w:sz w:val="22"/>
      </w:rPr>
      <w:tcPr>
        <w:shd w:val="clear" w:color="auto" w:fill="FFF2CB"/>
      </w:tcPr>
    </w:tblStylePr>
    <w:tblStylePr w:type="band1Horz">
      <w:rPr>
        <w:rFonts w:ascii="Arial" w:hAnsi="Arial"/>
        <w:color w:val="404040"/>
        <w:sz w:val="22"/>
      </w:rPr>
    </w:tblStylePr>
    <w:tblStylePr w:type="band2Horz">
      <w:rPr>
        <w:rFonts w:ascii="Arial" w:hAnsi="Arial"/>
        <w:color w:val="404040"/>
        <w:sz w:val="22"/>
      </w:rPr>
      <w:tcPr>
        <w:shd w:val="clear" w:color="auto" w:fill="FFF2CB"/>
      </w:tcPr>
    </w:tblStylePr>
    <w:tblStylePr w:type="firstCol">
      <w:rPr>
        <w:rFonts w:ascii="Arial" w:hAnsi="Arial"/>
        <w:color w:val="F2F2F2"/>
        <w:sz w:val="22"/>
      </w:rPr>
      <w:tcPr>
        <w:shd w:val="clear" w:color="auto" w:fill="FFD965"/>
      </w:tcPr>
    </w:tblStylePr>
    <w:tblStylePr w:type="lastCol">
      <w:rPr>
        <w:rFonts w:ascii="Arial" w:hAnsi="Arial"/>
        <w:color w:val="F2F2F2"/>
        <w:sz w:val="22"/>
      </w:rPr>
      <w:tcPr>
        <w:shd w:val="clear" w:color="auto" w:fill="FFD965"/>
      </w:tcPr>
    </w:tblStylePr>
    <w:tblStylePr w:type="firstRow">
      <w:rPr>
        <w:rFonts w:ascii="Arial" w:hAnsi="Arial"/>
        <w:color w:val="F2F2F2"/>
        <w:sz w:val="22"/>
      </w:rPr>
      <w:tcPr>
        <w:shd w:val="clear" w:color="auto" w:fill="FFD965"/>
      </w:tcPr>
    </w:tblStylePr>
    <w:tblStylePr w:type="lastRow">
      <w:rPr>
        <w:rFonts w:ascii="Arial" w:hAnsi="Arial"/>
        <w:color w:val="F2F2F2"/>
        <w:sz w:val="22"/>
      </w:rPr>
      <w:tcPr>
        <w:shd w:val="clear" w:color="auto" w:fill="FFD965"/>
      </w:tcPr>
    </w:tblStylePr>
  </w:style>
  <w:style w:type="table" w:styleId="BorderedLined-Accent5" w:customStyle="1">
    <w:name w:val="Bordered &amp; Lined - Accent 5"/>
    <w:basedOn w:val="Tabelanormal"/>
    <w:uiPriority w:val="99"/>
    <w:rPr>
      <w:color w:val="404040"/>
    </w:rPr>
    <w:tblPr>
      <w:tblStyleRowBandSize w:val="1"/>
      <w:tblBorders>
        <w:top w:val="single" w:sz="4" w:space="0" w:color="245A8D"/>
        <w:left w:val="single" w:sz="4" w:space="0" w:color="245A8D"/>
        <w:bottom w:val="single" w:sz="4" w:space="0" w:color="245A8D"/>
        <w:right w:val="single" w:sz="4" w:space="0" w:color="245A8D"/>
        <w:insideH w:val="single" w:sz="4" w:space="0" w:color="245A8D"/>
        <w:insideV w:val="single" w:sz="4" w:space="0" w:color="245A8D"/>
      </w:tblBorders>
    </w:tblPr>
    <w:tblStylePr w:type="band1Vert">
      <w:rPr>
        <w:rFonts w:ascii="Arial" w:hAnsi="Arial"/>
        <w:color w:val="404040"/>
        <w:sz w:val="22"/>
      </w:rPr>
    </w:tblStylePr>
    <w:tblStylePr w:type="band2Vert">
      <w:rPr>
        <w:rFonts w:ascii="Arial" w:hAnsi="Arial"/>
        <w:color w:val="404040"/>
        <w:sz w:val="22"/>
      </w:rPr>
      <w:tcPr>
        <w:shd w:val="clear" w:color="auto" w:fill="DEEBF6"/>
      </w:tcPr>
    </w:tblStylePr>
    <w:tblStylePr w:type="band1Horz">
      <w:rPr>
        <w:rFonts w:ascii="Arial" w:hAnsi="Arial"/>
        <w:color w:val="404040"/>
        <w:sz w:val="22"/>
      </w:rPr>
    </w:tblStylePr>
    <w:tblStylePr w:type="band2Horz">
      <w:rPr>
        <w:rFonts w:ascii="Arial" w:hAnsi="Arial"/>
        <w:color w:val="404040"/>
        <w:sz w:val="22"/>
      </w:rPr>
      <w:tcPr>
        <w:shd w:val="clear" w:color="auto" w:fill="DEEBF6"/>
      </w:tcPr>
    </w:tblStylePr>
    <w:tblStylePr w:type="firstCol">
      <w:rPr>
        <w:rFonts w:ascii="Arial" w:hAnsi="Arial"/>
        <w:color w:val="F2F2F2"/>
        <w:sz w:val="22"/>
      </w:rPr>
      <w:tcPr>
        <w:shd w:val="clear" w:color="auto" w:fill="5B9BD5"/>
      </w:tcPr>
    </w:tblStylePr>
    <w:tblStylePr w:type="lastCol">
      <w:rPr>
        <w:rFonts w:ascii="Arial" w:hAnsi="Arial"/>
        <w:color w:val="F2F2F2"/>
        <w:sz w:val="22"/>
      </w:rPr>
      <w:tcPr>
        <w:shd w:val="clear" w:color="auto" w:fill="5B9BD5"/>
      </w:tcPr>
    </w:tblStylePr>
    <w:tblStylePr w:type="firstRow">
      <w:rPr>
        <w:rFonts w:ascii="Arial" w:hAnsi="Arial"/>
        <w:color w:val="F2F2F2"/>
        <w:sz w:val="22"/>
      </w:rPr>
      <w:tcPr>
        <w:shd w:val="clear" w:color="auto" w:fill="5B9BD5"/>
      </w:tcPr>
    </w:tblStylePr>
    <w:tblStylePr w:type="lastRow">
      <w:rPr>
        <w:rFonts w:ascii="Arial" w:hAnsi="Arial"/>
        <w:color w:val="F2F2F2"/>
        <w:sz w:val="22"/>
      </w:rPr>
      <w:tcPr>
        <w:shd w:val="clear" w:color="auto" w:fill="5B9BD5"/>
      </w:tcPr>
    </w:tblStylePr>
  </w:style>
  <w:style w:type="table" w:styleId="BorderedLined-Accent6" w:customStyle="1">
    <w:name w:val="Bordered &amp; Lined - Accent 6"/>
    <w:basedOn w:val="Tabelanormal"/>
    <w:uiPriority w:val="99"/>
    <w:rPr>
      <w:color w:val="404040"/>
    </w:rPr>
    <w:tblPr>
      <w:tblStyleRowBandSize w:val="1"/>
      <w:tblBorders>
        <w:top w:val="single" w:sz="4" w:space="0" w:color="416429"/>
        <w:left w:val="single" w:sz="4" w:space="0" w:color="416429"/>
        <w:bottom w:val="single" w:sz="4" w:space="0" w:color="416429"/>
        <w:right w:val="single" w:sz="4" w:space="0" w:color="416429"/>
        <w:insideH w:val="single" w:sz="4" w:space="0" w:color="416429"/>
        <w:insideV w:val="single" w:sz="4" w:space="0" w:color="416429"/>
      </w:tblBorders>
    </w:tblPr>
    <w:tblStylePr w:type="band1Vert">
      <w:rPr>
        <w:rFonts w:ascii="Arial" w:hAnsi="Arial"/>
        <w:color w:val="404040"/>
        <w:sz w:val="22"/>
      </w:rPr>
    </w:tblStylePr>
    <w:tblStylePr w:type="band2Vert">
      <w:rPr>
        <w:rFonts w:ascii="Arial" w:hAnsi="Arial"/>
        <w:color w:val="404040"/>
        <w:sz w:val="22"/>
      </w:rPr>
      <w:tcPr>
        <w:shd w:val="clear" w:color="auto" w:fill="E2EFD9"/>
      </w:tcPr>
    </w:tblStylePr>
    <w:tblStylePr w:type="band1Horz">
      <w:rPr>
        <w:rFonts w:ascii="Arial" w:hAnsi="Arial"/>
        <w:color w:val="404040"/>
        <w:sz w:val="22"/>
      </w:rPr>
    </w:tblStylePr>
    <w:tblStylePr w:type="band2Horz">
      <w:rPr>
        <w:rFonts w:ascii="Arial" w:hAnsi="Arial"/>
        <w:color w:val="404040"/>
        <w:sz w:val="22"/>
      </w:rPr>
      <w:tcPr>
        <w:shd w:val="clear" w:color="auto" w:fill="E2EFD9"/>
      </w:tcPr>
    </w:tblStylePr>
    <w:tblStylePr w:type="firstCol">
      <w:rPr>
        <w:rFonts w:ascii="Arial" w:hAnsi="Arial"/>
        <w:color w:val="F2F2F2"/>
        <w:sz w:val="22"/>
      </w:rPr>
      <w:tcPr>
        <w:shd w:val="clear" w:color="auto" w:fill="70AD47"/>
      </w:tcPr>
    </w:tblStylePr>
    <w:tblStylePr w:type="lastCol">
      <w:rPr>
        <w:rFonts w:ascii="Arial" w:hAnsi="Arial"/>
        <w:color w:val="F2F2F2"/>
        <w:sz w:val="22"/>
      </w:rPr>
      <w:tcPr>
        <w:shd w:val="clear" w:color="auto" w:fill="70AD47"/>
      </w:tcPr>
    </w:tblStylePr>
    <w:tblStylePr w:type="firstRow">
      <w:rPr>
        <w:rFonts w:ascii="Arial" w:hAnsi="Arial"/>
        <w:color w:val="F2F2F2"/>
        <w:sz w:val="22"/>
      </w:rPr>
      <w:tcPr>
        <w:shd w:val="clear" w:color="auto" w:fill="70AD47"/>
      </w:tcPr>
    </w:tblStylePr>
    <w:tblStylePr w:type="lastRow">
      <w:rPr>
        <w:rFonts w:ascii="Arial" w:hAnsi="Arial"/>
        <w:color w:val="F2F2F2"/>
        <w:sz w:val="22"/>
      </w:rPr>
      <w:tcPr>
        <w:shd w:val="clear" w:color="auto" w:fill="70AD47"/>
      </w:tcPr>
    </w:tblStylePr>
  </w:style>
  <w:style w:type="table" w:styleId="Bordered" w:customStyle="1">
    <w:name w:val="Bordered"/>
    <w:basedOn w:val="Tabelanormal"/>
    <w:uiPriority w:val="99"/>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band1Horz">
      <w:rPr>
        <w:rFonts w:ascii="Arial" w:hAnsi="Arial"/>
        <w:color w:val="404040"/>
        <w:sz w:val="22"/>
      </w:rPr>
      <w:tcPr>
        <w:tcBorders>
          <w:top w:val="single" w:sz="4" w:space="0" w:color="D9D9D9"/>
          <w:left w:val="single" w:sz="4" w:space="0" w:color="D9D9D9"/>
          <w:bottom w:val="single" w:sz="4" w:space="0" w:color="D9D9D9"/>
          <w:right w:val="single" w:sz="4" w:space="0" w:color="D9D9D9"/>
        </w:tcBorders>
      </w:tcPr>
    </w:tblStylePr>
    <w:tblStylePr w:type="firstCol">
      <w:rPr>
        <w:rFonts w:ascii="Arial" w:hAnsi="Arial"/>
        <w:color w:val="404040"/>
        <w:sz w:val="22"/>
      </w:rPr>
    </w:tblStylePr>
    <w:tblStylePr w:type="lastCol">
      <w:rPr>
        <w:rFonts w:ascii="Arial" w:hAnsi="Arial"/>
        <w:color w:val="404040"/>
        <w:sz w:val="22"/>
      </w:rPr>
      <w:tcPr>
        <w:tcBorders>
          <w:left w:val="single" w:sz="12" w:space="0" w:color="7F7F7F"/>
        </w:tcBorders>
      </w:tcPr>
    </w:tblStylePr>
    <w:tblStylePr w:type="firstRow">
      <w:rPr>
        <w:rFonts w:ascii="Arial" w:hAnsi="Arial"/>
        <w:color w:val="404040"/>
        <w:sz w:val="22"/>
      </w:rPr>
      <w:tcPr>
        <w:tcBorders>
          <w:bottom w:val="single" w:sz="12" w:space="0" w:color="7F7F7F"/>
        </w:tcBorders>
      </w:tcPr>
    </w:tblStylePr>
    <w:tblStylePr w:type="lastRow">
      <w:rPr>
        <w:rFonts w:ascii="Arial" w:hAnsi="Arial"/>
        <w:color w:val="404040"/>
        <w:sz w:val="22"/>
      </w:rPr>
      <w:tcPr>
        <w:tcBorders>
          <w:top w:val="single" w:sz="12" w:space="0" w:color="7F7F7F"/>
        </w:tcBorders>
      </w:tcPr>
    </w:tblStylePr>
  </w:style>
  <w:style w:type="table" w:styleId="Bordered-Accent1" w:customStyle="1">
    <w:name w:val="Bordered - Accent 1"/>
    <w:basedOn w:val="Tabelanormal"/>
    <w:uiPriority w:val="99"/>
    <w:tblPr>
      <w:tblStyleRowBandSize w:val="1"/>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band1Horz">
      <w:rPr>
        <w:rFonts w:ascii="Arial" w:hAnsi="Arial"/>
        <w:color w:val="404040"/>
        <w:sz w:val="22"/>
      </w:rPr>
      <w:tcPr>
        <w:tcBorders>
          <w:top w:val="single" w:sz="4" w:space="0" w:color="B3C5E7"/>
          <w:left w:val="single" w:sz="4" w:space="0" w:color="B3C5E7"/>
          <w:bottom w:val="single" w:sz="4" w:space="0" w:color="B3C5E7"/>
          <w:right w:val="single" w:sz="4" w:space="0" w:color="B3C5E7"/>
        </w:tcBorders>
      </w:tcPr>
    </w:tblStylePr>
    <w:tblStylePr w:type="firstCol">
      <w:rPr>
        <w:rFonts w:ascii="Arial" w:hAnsi="Arial"/>
        <w:color w:val="404040"/>
        <w:sz w:val="22"/>
      </w:rPr>
    </w:tblStylePr>
    <w:tblStylePr w:type="lastCol">
      <w:rPr>
        <w:rFonts w:ascii="Arial" w:hAnsi="Arial"/>
        <w:color w:val="404040"/>
        <w:sz w:val="22"/>
      </w:rPr>
      <w:tcPr>
        <w:tcBorders>
          <w:left w:val="single" w:sz="12" w:space="0" w:color="4472C4"/>
        </w:tcBorders>
      </w:tcPr>
    </w:tblStylePr>
    <w:tblStylePr w:type="firstRow">
      <w:rPr>
        <w:rFonts w:ascii="Arial" w:hAnsi="Arial"/>
        <w:color w:val="404040"/>
        <w:sz w:val="22"/>
      </w:rPr>
      <w:tcPr>
        <w:tcBorders>
          <w:bottom w:val="single" w:sz="12" w:space="0" w:color="4472C4"/>
        </w:tcBorders>
      </w:tcPr>
    </w:tblStylePr>
    <w:tblStylePr w:type="lastRow">
      <w:rPr>
        <w:rFonts w:ascii="Arial" w:hAnsi="Arial"/>
        <w:color w:val="404040"/>
        <w:sz w:val="22"/>
      </w:rPr>
      <w:tcPr>
        <w:tcBorders>
          <w:top w:val="single" w:sz="12" w:space="0" w:color="4472C4"/>
        </w:tcBorders>
      </w:tcPr>
    </w:tblStylePr>
  </w:style>
  <w:style w:type="table" w:styleId="Bordered-Accent2" w:customStyle="1">
    <w:name w:val="Bordered - Accent 2"/>
    <w:basedOn w:val="Tabelanormal"/>
    <w:uiPriority w:val="99"/>
    <w:tblPr>
      <w:tblStyleRowBandSize w:val="1"/>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band1Horz">
      <w:rPr>
        <w:rFonts w:ascii="Arial" w:hAnsi="Arial"/>
        <w:color w:val="404040"/>
        <w:sz w:val="22"/>
      </w:rPr>
      <w:tcPr>
        <w:tcBorders>
          <w:top w:val="single" w:sz="4" w:space="0" w:color="F7CAAB"/>
          <w:left w:val="single" w:sz="4" w:space="0" w:color="F7CAAB"/>
          <w:bottom w:val="single" w:sz="4" w:space="0" w:color="F7CAAB"/>
          <w:right w:val="single" w:sz="4" w:space="0" w:color="F7CAAB"/>
        </w:tcBorders>
      </w:tcPr>
    </w:tblStylePr>
    <w:tblStylePr w:type="firstCol">
      <w:rPr>
        <w:rFonts w:ascii="Arial" w:hAnsi="Arial"/>
        <w:color w:val="404040"/>
        <w:sz w:val="22"/>
      </w:rPr>
    </w:tblStylePr>
    <w:tblStylePr w:type="lastCol">
      <w:rPr>
        <w:rFonts w:ascii="Arial" w:hAnsi="Arial"/>
        <w:color w:val="404040"/>
        <w:sz w:val="22"/>
      </w:rPr>
      <w:tcPr>
        <w:tcBorders>
          <w:left w:val="single" w:sz="12" w:space="0" w:color="F4B184"/>
        </w:tcBorders>
      </w:tcPr>
    </w:tblStylePr>
    <w:tblStylePr w:type="firstRow">
      <w:rPr>
        <w:rFonts w:ascii="Arial" w:hAnsi="Arial"/>
        <w:color w:val="404040"/>
        <w:sz w:val="22"/>
      </w:rPr>
      <w:tcPr>
        <w:tcBorders>
          <w:bottom w:val="single" w:sz="12" w:space="0" w:color="F4B184"/>
        </w:tcBorders>
      </w:tcPr>
    </w:tblStylePr>
    <w:tblStylePr w:type="lastRow">
      <w:rPr>
        <w:rFonts w:ascii="Arial" w:hAnsi="Arial"/>
        <w:color w:val="404040"/>
        <w:sz w:val="22"/>
      </w:rPr>
      <w:tcPr>
        <w:tcBorders>
          <w:top w:val="single" w:sz="12" w:space="0" w:color="F4B184"/>
        </w:tcBorders>
      </w:tcPr>
    </w:tblStylePr>
  </w:style>
  <w:style w:type="table" w:styleId="Bordered-Accent3" w:customStyle="1">
    <w:name w:val="Bordered - Accent 3"/>
    <w:basedOn w:val="Tabelanormal"/>
    <w:uiPriority w:val="99"/>
    <w:tblPr>
      <w:tblStyleRowBandSize w:val="1"/>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band1Horz">
      <w:rPr>
        <w:rFonts w:ascii="Arial" w:hAnsi="Arial"/>
        <w:color w:val="404040"/>
        <w:sz w:val="22"/>
      </w:rPr>
      <w:tcPr>
        <w:tcBorders>
          <w:top w:val="single" w:sz="4" w:space="0" w:color="DADADA"/>
          <w:left w:val="single" w:sz="4" w:space="0" w:color="DADADA"/>
          <w:bottom w:val="single" w:sz="4" w:space="0" w:color="DADADA"/>
          <w:right w:val="single" w:sz="4" w:space="0" w:color="DADADA"/>
        </w:tcBorders>
      </w:tcPr>
    </w:tblStylePr>
    <w:tblStylePr w:type="firstCol">
      <w:rPr>
        <w:rFonts w:ascii="Arial" w:hAnsi="Arial"/>
        <w:color w:val="404040"/>
        <w:sz w:val="22"/>
      </w:rPr>
    </w:tblStylePr>
    <w:tblStylePr w:type="lastCol">
      <w:rPr>
        <w:rFonts w:ascii="Arial" w:hAnsi="Arial"/>
        <w:color w:val="404040"/>
        <w:sz w:val="22"/>
      </w:rPr>
      <w:tcPr>
        <w:tcBorders>
          <w:left w:val="single" w:sz="12" w:space="0" w:color="C9C9C9"/>
        </w:tcBorders>
      </w:tcPr>
    </w:tblStylePr>
    <w:tblStylePr w:type="firstRow">
      <w:rPr>
        <w:rFonts w:ascii="Arial" w:hAnsi="Arial"/>
        <w:color w:val="404040"/>
        <w:sz w:val="22"/>
      </w:rPr>
      <w:tcPr>
        <w:tcBorders>
          <w:bottom w:val="single" w:sz="12" w:space="0" w:color="C9C9C9"/>
        </w:tcBorders>
      </w:tcPr>
    </w:tblStylePr>
    <w:tblStylePr w:type="lastRow">
      <w:rPr>
        <w:rFonts w:ascii="Arial" w:hAnsi="Arial"/>
        <w:color w:val="404040"/>
        <w:sz w:val="22"/>
      </w:rPr>
      <w:tcPr>
        <w:tcBorders>
          <w:top w:val="single" w:sz="12" w:space="0" w:color="C9C9C9"/>
        </w:tcBorders>
      </w:tcPr>
    </w:tblStylePr>
  </w:style>
  <w:style w:type="table" w:styleId="Bordered-Accent4" w:customStyle="1">
    <w:name w:val="Bordered - Accent 4"/>
    <w:basedOn w:val="Tabelanormal"/>
    <w:uiPriority w:val="99"/>
    <w:tblPr>
      <w:tblStyleRowBandSize w:val="1"/>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band1Horz">
      <w:rPr>
        <w:rFonts w:ascii="Arial" w:hAnsi="Arial"/>
        <w:color w:val="404040"/>
        <w:sz w:val="22"/>
      </w:rPr>
      <w:tcPr>
        <w:tcBorders>
          <w:top w:val="single" w:sz="4" w:space="0" w:color="FFE598"/>
          <w:left w:val="single" w:sz="4" w:space="0" w:color="FFE598"/>
          <w:bottom w:val="single" w:sz="4" w:space="0" w:color="FFE598"/>
          <w:right w:val="single" w:sz="4" w:space="0" w:color="FFE598"/>
        </w:tcBorders>
      </w:tcPr>
    </w:tblStylePr>
    <w:tblStylePr w:type="firstCol">
      <w:rPr>
        <w:rFonts w:ascii="Arial" w:hAnsi="Arial"/>
        <w:color w:val="404040"/>
        <w:sz w:val="22"/>
      </w:rPr>
    </w:tblStylePr>
    <w:tblStylePr w:type="lastCol">
      <w:rPr>
        <w:rFonts w:ascii="Arial" w:hAnsi="Arial"/>
        <w:color w:val="404040"/>
        <w:sz w:val="22"/>
      </w:rPr>
      <w:tcPr>
        <w:tcBorders>
          <w:left w:val="single" w:sz="12" w:space="0" w:color="FFD865"/>
        </w:tcBorders>
      </w:tcPr>
    </w:tblStylePr>
    <w:tblStylePr w:type="firstRow">
      <w:rPr>
        <w:rFonts w:ascii="Arial" w:hAnsi="Arial"/>
        <w:color w:val="404040"/>
        <w:sz w:val="22"/>
      </w:rPr>
      <w:tcPr>
        <w:tcBorders>
          <w:bottom w:val="single" w:sz="12" w:space="0" w:color="FFD865"/>
        </w:tcBorders>
      </w:tcPr>
    </w:tblStylePr>
    <w:tblStylePr w:type="lastRow">
      <w:rPr>
        <w:rFonts w:ascii="Arial" w:hAnsi="Arial"/>
        <w:color w:val="404040"/>
        <w:sz w:val="22"/>
      </w:rPr>
      <w:tcPr>
        <w:tcBorders>
          <w:top w:val="single" w:sz="12" w:space="0" w:color="FFD865"/>
        </w:tcBorders>
      </w:tcPr>
    </w:tblStylePr>
  </w:style>
  <w:style w:type="table" w:styleId="Bordered-Accent5" w:customStyle="1">
    <w:name w:val="Bordered - Accent 5"/>
    <w:basedOn w:val="Tabelanormal"/>
    <w:uiPriority w:val="99"/>
    <w:tblPr>
      <w:tblStyleRowBandSize w:val="1"/>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band1Horz">
      <w:rPr>
        <w:rFonts w:ascii="Arial" w:hAnsi="Arial"/>
        <w:color w:val="404040"/>
        <w:sz w:val="22"/>
      </w:rPr>
      <w:tcPr>
        <w:tcBorders>
          <w:top w:val="single" w:sz="4" w:space="0" w:color="BCD6EE"/>
          <w:left w:val="single" w:sz="4" w:space="0" w:color="BCD6EE"/>
          <w:bottom w:val="single" w:sz="4" w:space="0" w:color="BCD6EE"/>
          <w:right w:val="single" w:sz="4" w:space="0" w:color="BCD6EE"/>
        </w:tcBorders>
      </w:tcPr>
    </w:tblStylePr>
    <w:tblStylePr w:type="firstCol">
      <w:rPr>
        <w:rFonts w:ascii="Arial" w:hAnsi="Arial"/>
        <w:color w:val="404040"/>
        <w:sz w:val="22"/>
      </w:rPr>
    </w:tblStylePr>
    <w:tblStylePr w:type="lastCol">
      <w:rPr>
        <w:rFonts w:ascii="Arial" w:hAnsi="Arial"/>
        <w:color w:val="404040"/>
        <w:sz w:val="22"/>
      </w:rPr>
      <w:tcPr>
        <w:tcBorders>
          <w:left w:val="single" w:sz="12" w:space="0" w:color="9BC2E5"/>
        </w:tcBorders>
      </w:tcPr>
    </w:tblStylePr>
    <w:tblStylePr w:type="firstRow">
      <w:rPr>
        <w:rFonts w:ascii="Arial" w:hAnsi="Arial"/>
        <w:color w:val="404040"/>
        <w:sz w:val="22"/>
      </w:rPr>
      <w:tcPr>
        <w:tcBorders>
          <w:bottom w:val="single" w:sz="12" w:space="0" w:color="9BC2E5"/>
        </w:tcBorders>
      </w:tcPr>
    </w:tblStylePr>
    <w:tblStylePr w:type="lastRow">
      <w:rPr>
        <w:rFonts w:ascii="Arial" w:hAnsi="Arial"/>
        <w:color w:val="404040"/>
        <w:sz w:val="22"/>
      </w:rPr>
      <w:tcPr>
        <w:tcBorders>
          <w:top w:val="single" w:sz="12" w:space="0" w:color="9BC2E5"/>
        </w:tcBorders>
      </w:tcPr>
    </w:tblStylePr>
  </w:style>
  <w:style w:type="table" w:styleId="Bordered-Accent6" w:customStyle="1">
    <w:name w:val="Bordered - Accent 6"/>
    <w:basedOn w:val="Tabelanormal"/>
    <w:uiPriority w:val="99"/>
    <w:tblPr>
      <w:tblStyleRowBandSize w:val="1"/>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band1Horz">
      <w:rPr>
        <w:rFonts w:ascii="Arial" w:hAnsi="Arial"/>
        <w:color w:val="404040"/>
        <w:sz w:val="22"/>
      </w:rPr>
      <w:tcPr>
        <w:tcBorders>
          <w:top w:val="single" w:sz="4" w:space="0" w:color="C4DFB2"/>
          <w:left w:val="single" w:sz="4" w:space="0" w:color="C4DFB2"/>
          <w:bottom w:val="single" w:sz="4" w:space="0" w:color="C4DFB2"/>
          <w:right w:val="single" w:sz="4" w:space="0" w:color="C4DFB2"/>
        </w:tcBorders>
      </w:tcPr>
    </w:tblStylePr>
    <w:tblStylePr w:type="firstCol">
      <w:rPr>
        <w:rFonts w:ascii="Arial" w:hAnsi="Arial"/>
        <w:color w:val="404040"/>
        <w:sz w:val="22"/>
      </w:rPr>
    </w:tblStylePr>
    <w:tblStylePr w:type="lastCol">
      <w:rPr>
        <w:rFonts w:ascii="Arial" w:hAnsi="Arial"/>
        <w:color w:val="404040"/>
        <w:sz w:val="22"/>
      </w:rPr>
      <w:tcPr>
        <w:tcBorders>
          <w:left w:val="single" w:sz="12" w:space="0" w:color="A9D08E"/>
        </w:tcBorders>
      </w:tcPr>
    </w:tblStylePr>
    <w:tblStylePr w:type="firstRow">
      <w:rPr>
        <w:rFonts w:ascii="Arial" w:hAnsi="Arial"/>
        <w:color w:val="404040"/>
        <w:sz w:val="22"/>
      </w:rPr>
      <w:tcPr>
        <w:tcBorders>
          <w:bottom w:val="single" w:sz="12" w:space="0" w:color="A9D08E"/>
        </w:tcBorders>
      </w:tcPr>
    </w:tblStylePr>
    <w:tblStylePr w:type="lastRow">
      <w:rPr>
        <w:rFonts w:ascii="Arial" w:hAnsi="Arial"/>
        <w:color w:val="404040"/>
        <w:sz w:val="22"/>
      </w:rPr>
      <w:tcPr>
        <w:tcBorders>
          <w:top w:val="single" w:sz="12" w:space="0" w:color="A9D08E"/>
        </w:tcBorders>
      </w:tcPr>
    </w:tblStylePr>
  </w:style>
  <w:style w:type="character" w:styleId="Heading1Char" w:customStyle="1">
    <w:name w:val="Heading 1 Char"/>
    <w:basedOn w:val="Fontepargpadro"/>
    <w:uiPriority w:val="9"/>
    <w:rPr>
      <w:rFonts w:ascii="Arial" w:hAnsi="Arial" w:eastAsia="Arial" w:cs="Arial"/>
      <w:color w:val="2F5496"/>
      <w:sz w:val="40"/>
      <w:szCs w:val="40"/>
    </w:rPr>
  </w:style>
  <w:style w:type="character" w:styleId="Heading2Char" w:customStyle="1">
    <w:name w:val="Heading 2 Char"/>
    <w:basedOn w:val="Fontepargpadro"/>
    <w:uiPriority w:val="9"/>
    <w:rPr>
      <w:rFonts w:ascii="Arial" w:hAnsi="Arial" w:eastAsia="Arial" w:cs="Arial"/>
      <w:color w:val="2F5496"/>
      <w:sz w:val="32"/>
      <w:szCs w:val="32"/>
    </w:rPr>
  </w:style>
  <w:style w:type="character" w:styleId="Ttulo3Char" w:customStyle="1">
    <w:name w:val="Título 3 Char"/>
    <w:basedOn w:val="Fontepargpadro"/>
    <w:link w:val="Ttulo3"/>
    <w:uiPriority w:val="9"/>
    <w:rPr>
      <w:rFonts w:ascii="Arial" w:hAnsi="Arial" w:eastAsia="Arial" w:cs="Arial"/>
      <w:color w:val="2F5496"/>
      <w:sz w:val="28"/>
      <w:szCs w:val="28"/>
    </w:rPr>
  </w:style>
  <w:style w:type="character" w:styleId="Ttulo4Char" w:customStyle="1">
    <w:name w:val="Título 4 Char"/>
    <w:basedOn w:val="Fontepargpadro"/>
    <w:link w:val="Ttulo4"/>
    <w:uiPriority w:val="9"/>
    <w:rPr>
      <w:rFonts w:ascii="Arial" w:hAnsi="Arial" w:eastAsia="Arial" w:cs="Arial"/>
      <w:i/>
      <w:iCs/>
      <w:color w:val="2F5496"/>
    </w:rPr>
  </w:style>
  <w:style w:type="character" w:styleId="Ttulo5Char" w:customStyle="1">
    <w:name w:val="Título 5 Char"/>
    <w:basedOn w:val="Fontepargpadro"/>
    <w:link w:val="Ttulo5"/>
    <w:uiPriority w:val="9"/>
    <w:rPr>
      <w:rFonts w:ascii="Arial" w:hAnsi="Arial" w:eastAsia="Arial" w:cs="Arial"/>
      <w:color w:val="2F5496"/>
    </w:rPr>
  </w:style>
  <w:style w:type="character" w:styleId="Ttulo6Char" w:customStyle="1">
    <w:name w:val="Título 6 Char"/>
    <w:basedOn w:val="Fontepargpadro"/>
    <w:link w:val="Ttulo6"/>
    <w:uiPriority w:val="9"/>
    <w:rPr>
      <w:rFonts w:ascii="Arial" w:hAnsi="Arial" w:eastAsia="Arial" w:cs="Arial"/>
      <w:i/>
      <w:iCs/>
      <w:color w:val="595959"/>
    </w:rPr>
  </w:style>
  <w:style w:type="character" w:styleId="Ttulo7Char" w:customStyle="1">
    <w:name w:val="Título 7 Char"/>
    <w:basedOn w:val="Fontepargpadro"/>
    <w:link w:val="Ttulo7"/>
    <w:uiPriority w:val="9"/>
    <w:rPr>
      <w:rFonts w:ascii="Arial" w:hAnsi="Arial" w:eastAsia="Arial" w:cs="Arial"/>
      <w:color w:val="595959"/>
    </w:rPr>
  </w:style>
  <w:style w:type="character" w:styleId="Ttulo8Char" w:customStyle="1">
    <w:name w:val="Título 8 Char"/>
    <w:basedOn w:val="Fontepargpadro"/>
    <w:link w:val="Ttulo8"/>
    <w:uiPriority w:val="9"/>
    <w:rPr>
      <w:rFonts w:ascii="Arial" w:hAnsi="Arial" w:eastAsia="Arial" w:cs="Arial"/>
      <w:i/>
      <w:iCs/>
      <w:color w:val="272727"/>
    </w:rPr>
  </w:style>
  <w:style w:type="character" w:styleId="Ttulo9Char" w:customStyle="1">
    <w:name w:val="Título 9 Char"/>
    <w:basedOn w:val="Fontepargpadro"/>
    <w:link w:val="Ttulo9"/>
    <w:uiPriority w:val="9"/>
    <w:rPr>
      <w:rFonts w:ascii="Arial" w:hAnsi="Arial" w:eastAsia="Arial" w:cs="Arial"/>
      <w:i/>
      <w:iCs/>
      <w:color w:val="272727"/>
    </w:rPr>
  </w:style>
  <w:style w:type="paragraph" w:styleId="Ttulo">
    <w:name w:val="Title"/>
    <w:basedOn w:val="Normal"/>
    <w:next w:val="Normal"/>
    <w:link w:val="TtuloChar"/>
    <w:uiPriority w:val="10"/>
    <w:qFormat/>
    <w:pPr>
      <w:spacing w:after="80" w:line="240" w:lineRule="auto"/>
      <w:contextualSpacing/>
    </w:pPr>
    <w:rPr>
      <w:rFonts w:ascii="Arial" w:hAnsi="Arial" w:eastAsia="Arial" w:cs="Arial"/>
      <w:spacing w:val="-10"/>
      <w:sz w:val="56"/>
      <w:szCs w:val="56"/>
    </w:rPr>
  </w:style>
  <w:style w:type="character" w:styleId="TtuloChar" w:customStyle="1">
    <w:name w:val="Título Char"/>
    <w:basedOn w:val="Fontepargpadro"/>
    <w:link w:val="Ttulo"/>
    <w:uiPriority w:val="10"/>
    <w:rPr>
      <w:rFonts w:ascii="Arial" w:hAnsi="Arial" w:eastAsia="Arial" w:cs="Arial"/>
      <w:spacing w:val="-10"/>
      <w:sz w:val="56"/>
      <w:szCs w:val="56"/>
    </w:rPr>
  </w:style>
  <w:style w:type="paragraph" w:styleId="Subttulo">
    <w:name w:val="Subtitle"/>
    <w:basedOn w:val="Normal"/>
    <w:next w:val="Normal"/>
    <w:link w:val="SubttuloChar"/>
    <w:uiPriority w:val="11"/>
    <w:qFormat/>
    <w:rPr>
      <w:color w:val="595959"/>
      <w:spacing w:val="15"/>
      <w:sz w:val="28"/>
      <w:szCs w:val="28"/>
    </w:rPr>
  </w:style>
  <w:style w:type="character" w:styleId="SubttuloChar" w:customStyle="1">
    <w:name w:val="Subtítulo Char"/>
    <w:basedOn w:val="Fontepargpadro"/>
    <w:link w:val="Subttulo"/>
    <w:uiPriority w:val="11"/>
    <w:rPr>
      <w:color w:val="595959"/>
      <w:spacing w:val="15"/>
      <w:sz w:val="28"/>
      <w:szCs w:val="28"/>
    </w:rPr>
  </w:style>
  <w:style w:type="paragraph" w:styleId="Citao">
    <w:name w:val="Quote"/>
    <w:basedOn w:val="Normal"/>
    <w:next w:val="Normal"/>
    <w:link w:val="CitaoChar"/>
    <w:uiPriority w:val="29"/>
    <w:qFormat/>
    <w:pPr>
      <w:spacing w:before="160"/>
      <w:jc w:val="center"/>
    </w:pPr>
    <w:rPr>
      <w:i/>
      <w:iCs/>
      <w:color w:val="404040"/>
    </w:rPr>
  </w:style>
  <w:style w:type="character" w:styleId="CitaoChar" w:customStyle="1">
    <w:name w:val="Citação Char"/>
    <w:basedOn w:val="Fontepargpadro"/>
    <w:link w:val="Citao"/>
    <w:uiPriority w:val="29"/>
    <w:rPr>
      <w:i/>
      <w:iCs/>
      <w:color w:val="404040"/>
    </w:rPr>
  </w:style>
  <w:style w:type="character" w:styleId="nfaseIntensa">
    <w:name w:val="Intense Emphasis"/>
    <w:basedOn w:val="Fontepargpadro"/>
    <w:uiPriority w:val="21"/>
    <w:qFormat/>
    <w:rPr>
      <w:i/>
      <w:iCs/>
      <w:color w:val="2F5496"/>
    </w:rPr>
  </w:style>
  <w:style w:type="paragraph" w:styleId="CitaoIntensa">
    <w:name w:val="Intense Quote"/>
    <w:basedOn w:val="Normal"/>
    <w:next w:val="Normal"/>
    <w:link w:val="CitaoIntensaChar"/>
    <w:uiPriority w:val="30"/>
    <w:qFormat/>
    <w:pPr>
      <w:pBdr>
        <w:top w:val="single" w:sz="4" w:space="10" w:color="2F5496"/>
        <w:bottom w:val="single" w:sz="4" w:space="10" w:color="2F5496"/>
      </w:pBdr>
      <w:spacing w:before="360" w:after="360"/>
      <w:ind w:left="864" w:right="864"/>
      <w:jc w:val="center"/>
    </w:pPr>
    <w:rPr>
      <w:i/>
      <w:iCs/>
      <w:color w:val="2F5496"/>
    </w:rPr>
  </w:style>
  <w:style w:type="character" w:styleId="CitaoIntensaChar" w:customStyle="1">
    <w:name w:val="Citação Intensa Char"/>
    <w:basedOn w:val="Fontepargpadro"/>
    <w:link w:val="CitaoIntensa"/>
    <w:uiPriority w:val="30"/>
    <w:rPr>
      <w:i/>
      <w:iCs/>
      <w:color w:val="2F5496"/>
    </w:rPr>
  </w:style>
  <w:style w:type="character" w:styleId="RefernciaIntensa">
    <w:name w:val="Intense Reference"/>
    <w:basedOn w:val="Fontepargpadro"/>
    <w:uiPriority w:val="32"/>
    <w:qFormat/>
    <w:rPr>
      <w:b/>
      <w:bCs/>
      <w:smallCaps/>
      <w:color w:val="2F5496"/>
      <w:spacing w:val="5"/>
    </w:rPr>
  </w:style>
  <w:style w:type="paragraph" w:styleId="SemEspaamento">
    <w:name w:val="No Spacing"/>
    <w:basedOn w:val="Normal"/>
    <w:uiPriority w:val="1"/>
    <w:qFormat/>
    <w:pPr>
      <w:spacing w:after="0" w:line="240" w:lineRule="auto"/>
    </w:pPr>
  </w:style>
  <w:style w:type="character" w:styleId="nfaseSutil">
    <w:name w:val="Subtle Emphasis"/>
    <w:basedOn w:val="Fontepargpadro"/>
    <w:uiPriority w:val="19"/>
    <w:qFormat/>
    <w:rPr>
      <w:i/>
      <w:iCs/>
      <w:color w:val="404040"/>
    </w:rPr>
  </w:style>
  <w:style w:type="character" w:styleId="Forte">
    <w:name w:val="Strong"/>
    <w:basedOn w:val="Fontepargpadro"/>
    <w:uiPriority w:val="22"/>
    <w:qFormat/>
    <w:rPr>
      <w:b/>
      <w:bCs/>
    </w:rPr>
  </w:style>
  <w:style w:type="character" w:styleId="RefernciaSutil">
    <w:name w:val="Subtle Reference"/>
    <w:basedOn w:val="Fontepargpadro"/>
    <w:uiPriority w:val="31"/>
    <w:qFormat/>
    <w:rPr>
      <w:smallCaps/>
      <w:color w:val="5A5A5A"/>
    </w:rPr>
  </w:style>
  <w:style w:type="character" w:styleId="TtulodoLivro">
    <w:name w:val="Book Title"/>
    <w:basedOn w:val="Fontepargpadro"/>
    <w:uiPriority w:val="33"/>
    <w:qFormat/>
    <w:rPr>
      <w:b/>
      <w:bCs/>
      <w:i/>
      <w:iCs/>
      <w:spacing w:val="5"/>
    </w:rPr>
  </w:style>
  <w:style w:type="character" w:styleId="HeaderChar" w:customStyle="1">
    <w:name w:val="Header Char"/>
    <w:basedOn w:val="Fontepargpadro"/>
    <w:uiPriority w:val="99"/>
  </w:style>
  <w:style w:type="character" w:styleId="FooterChar" w:customStyle="1">
    <w:name w:val="Footer Char"/>
    <w:basedOn w:val="Fontepargpadro"/>
    <w:uiPriority w:val="99"/>
  </w:style>
  <w:style w:type="paragraph" w:styleId="Legenda">
    <w:name w:val="caption"/>
    <w:basedOn w:val="Normal"/>
    <w:next w:val="Normal"/>
    <w:uiPriority w:val="35"/>
    <w:qFormat/>
    <w:pPr>
      <w:spacing w:line="240" w:lineRule="auto"/>
    </w:pPr>
    <w:rPr>
      <w:i/>
      <w:iCs/>
      <w:color w:val="44546A"/>
      <w:sz w:val="18"/>
      <w:szCs w:val="18"/>
    </w:rPr>
  </w:style>
  <w:style w:type="character" w:styleId="FootnoteTextChar" w:customStyle="1">
    <w:name w:val="Footnote Text Char"/>
    <w:basedOn w:val="Fontepargpadro"/>
    <w:uiPriority w:val="99"/>
    <w:semiHidden/>
    <w:unhideWhenUsed/>
    <w:rPr>
      <w:sz w:val="20"/>
      <w:szCs w:val="20"/>
    </w:rPr>
  </w:style>
  <w:style w:type="paragraph" w:styleId="Textodenotadefim">
    <w:name w:val="endnote text"/>
    <w:basedOn w:val="Normal"/>
    <w:link w:val="TextodenotadefimChar"/>
    <w:uiPriority w:val="99"/>
    <w:semiHidden/>
    <w:unhideWhenUsed/>
    <w:pPr>
      <w:spacing w:after="0" w:line="240" w:lineRule="auto"/>
    </w:pPr>
    <w:rPr>
      <w:sz w:val="20"/>
      <w:szCs w:val="20"/>
    </w:rPr>
  </w:style>
  <w:style w:type="character" w:styleId="TextodenotadefimChar" w:customStyle="1">
    <w:name w:val="Texto de nota de fim Char"/>
    <w:basedOn w:val="Fontepargpadro"/>
    <w:link w:val="Textodenotadefim"/>
    <w:uiPriority w:val="99"/>
    <w:semiHidden/>
    <w:unhideWhenUsed/>
    <w:rPr>
      <w:sz w:val="20"/>
      <w:szCs w:val="20"/>
    </w:rPr>
  </w:style>
  <w:style w:type="character" w:styleId="Refdenotadefim">
    <w:name w:val="endnote reference"/>
    <w:basedOn w:val="Fontepargpadro"/>
    <w:uiPriority w:val="99"/>
    <w:semiHidden/>
    <w:unhideWhenUsed/>
    <w:rPr>
      <w:vertAlign w:val="superscript"/>
    </w:rPr>
  </w:style>
  <w:style w:type="character" w:styleId="HiperlinkVisitado">
    <w:name w:val="FollowedHyperlink"/>
    <w:basedOn w:val="Fontepargpadro"/>
    <w:uiPriority w:val="99"/>
    <w:semiHidden/>
    <w:unhideWhenUsed/>
    <w:rPr>
      <w:color w:val="954F72"/>
      <w:u w:val="single"/>
    </w:rPr>
  </w:style>
  <w:style w:type="paragraph" w:styleId="Sumrio1">
    <w:name w:val="toc 1"/>
    <w:basedOn w:val="Normal"/>
    <w:next w:val="Normal"/>
    <w:uiPriority w:val="39"/>
    <w:pPr>
      <w:spacing w:after="100"/>
    </w:pPr>
  </w:style>
  <w:style w:type="paragraph" w:styleId="Sumrio2">
    <w:name w:val="toc 2"/>
    <w:basedOn w:val="Normal"/>
    <w:next w:val="Normal"/>
    <w:uiPriority w:val="39"/>
    <w:pPr>
      <w:spacing w:after="100"/>
      <w:ind w:left="220"/>
    </w:pPr>
  </w:style>
  <w:style w:type="paragraph" w:styleId="Sumrio3">
    <w:name w:val="toc 3"/>
    <w:basedOn w:val="Normal"/>
    <w:next w:val="Normal"/>
    <w:uiPriority w:val="39"/>
    <w:pPr>
      <w:spacing w:after="100"/>
      <w:ind w:left="440"/>
    </w:pPr>
  </w:style>
  <w:style w:type="paragraph" w:styleId="Sumrio4">
    <w:name w:val="toc 4"/>
    <w:basedOn w:val="Normal"/>
    <w:next w:val="Normal"/>
    <w:uiPriority w:val="39"/>
    <w:pPr>
      <w:spacing w:after="100"/>
      <w:ind w:left="660"/>
    </w:pPr>
  </w:style>
  <w:style w:type="paragraph" w:styleId="Sumrio5">
    <w:name w:val="toc 5"/>
    <w:basedOn w:val="Normal"/>
    <w:next w:val="Normal"/>
    <w:uiPriority w:val="39"/>
    <w:pPr>
      <w:spacing w:after="100"/>
      <w:ind w:left="880"/>
    </w:pPr>
  </w:style>
  <w:style w:type="paragraph" w:styleId="Sumrio6">
    <w:name w:val="toc 6"/>
    <w:basedOn w:val="Normal"/>
    <w:next w:val="Normal"/>
    <w:uiPriority w:val="39"/>
    <w:pPr>
      <w:spacing w:after="100"/>
      <w:ind w:left="1100"/>
    </w:pPr>
  </w:style>
  <w:style w:type="paragraph" w:styleId="Sumrio7">
    <w:name w:val="toc 7"/>
    <w:basedOn w:val="Normal"/>
    <w:next w:val="Normal"/>
    <w:uiPriority w:val="39"/>
    <w:pPr>
      <w:spacing w:after="100"/>
      <w:ind w:left="1320"/>
    </w:pPr>
  </w:style>
  <w:style w:type="paragraph" w:styleId="Sumrio8">
    <w:name w:val="toc 8"/>
    <w:basedOn w:val="Normal"/>
    <w:next w:val="Normal"/>
    <w:uiPriority w:val="39"/>
    <w:pPr>
      <w:spacing w:after="100"/>
      <w:ind w:left="1540"/>
    </w:pPr>
  </w:style>
  <w:style w:type="paragraph" w:styleId="Sumrio9">
    <w:name w:val="toc 9"/>
    <w:basedOn w:val="Normal"/>
    <w:next w:val="Normal"/>
    <w:uiPriority w:val="39"/>
    <w:pPr>
      <w:spacing w:after="100"/>
      <w:ind w:left="1760"/>
    </w:pPr>
  </w:style>
  <w:style w:type="paragraph" w:styleId="CabealhodoSumrio">
    <w:name w:val="TOC Heading"/>
    <w:uiPriority w:val="39"/>
  </w:style>
  <w:style w:type="paragraph" w:styleId="ndicedeilustraes">
    <w:name w:val="table of figures"/>
    <w:basedOn w:val="Normal"/>
    <w:next w:val="Normal"/>
    <w:uiPriority w:val="99"/>
    <w:pPr>
      <w:spacing w:after="0"/>
    </w:pPr>
  </w:style>
  <w:style w:type="paragraph" w:styleId="PargrafodaLista">
    <w:name w:val="List Paragraph"/>
    <w:basedOn w:val="Normal"/>
    <w:uiPriority w:val="34"/>
    <w:qFormat/>
    <w:pPr>
      <w:ind w:left="720"/>
      <w:contextualSpacing/>
    </w:pPr>
  </w:style>
  <w:style w:type="character" w:styleId="Ttulo1Char" w:customStyle="1">
    <w:name w:val="Título 1 Char"/>
    <w:link w:val="Ttulo1"/>
    <w:uiPriority w:val="9"/>
    <w:rPr>
      <w:rFonts w:ascii="Times New Roman" w:hAnsi="Times New Roman" w:eastAsia="Times New Roman" w:cs="Times New Roman"/>
      <w:b/>
      <w:bCs/>
      <w:sz w:val="48"/>
      <w:szCs w:val="48"/>
    </w:rPr>
  </w:style>
  <w:style w:type="character" w:styleId="Ttulo2Char" w:customStyle="1">
    <w:name w:val="Título 2 Char"/>
    <w:link w:val="Ttulo2"/>
    <w:uiPriority w:val="9"/>
    <w:semiHidden/>
    <w:unhideWhenUsed/>
    <w:rPr>
      <w:rFonts w:ascii="Cambria" w:hAnsi="Cambria" w:eastAsia="Times New Roman" w:cs="Times New Roman"/>
      <w:b/>
      <w:bCs/>
      <w:color w:val="4F81BD"/>
      <w:sz w:val="26"/>
      <w:szCs w:val="26"/>
    </w:rPr>
  </w:style>
  <w:style w:type="character" w:styleId="Hyperlink">
    <w:name w:val="Hyperlink"/>
    <w:uiPriority w:val="99"/>
    <w:rPr>
      <w:color w:val="0000FF"/>
      <w:u w:val="single"/>
    </w:rPr>
  </w:style>
  <w:style w:type="character" w:styleId="al-author-name-more" w:customStyle="1">
    <w:name w:val="al-author-name-more"/>
    <w:basedOn w:val="Fontepargpadro"/>
  </w:style>
  <w:style w:type="character" w:styleId="authors" w:customStyle="1">
    <w:name w:val="authors"/>
    <w:basedOn w:val="Fontepargpadro"/>
  </w:style>
  <w:style w:type="character" w:styleId="Data1" w:customStyle="1">
    <w:name w:val="Data1"/>
    <w:basedOn w:val="Fontepargpadro"/>
  </w:style>
  <w:style w:type="character" w:styleId="arttitle" w:customStyle="1">
    <w:name w:val="art_title"/>
    <w:basedOn w:val="Fontepargpadro"/>
  </w:style>
  <w:style w:type="character" w:styleId="serialtitle" w:customStyle="1">
    <w:name w:val="serial_title"/>
    <w:basedOn w:val="Fontepargpadro"/>
  </w:style>
  <w:style w:type="character" w:styleId="volumeissue" w:customStyle="1">
    <w:name w:val="volume_issue"/>
    <w:basedOn w:val="Fontepargpadro"/>
  </w:style>
  <w:style w:type="character" w:styleId="pagerange" w:customStyle="1">
    <w:name w:val="page_range"/>
    <w:basedOn w:val="Fontepargpadro"/>
  </w:style>
  <w:style w:type="character" w:styleId="year" w:customStyle="1">
    <w:name w:val="year"/>
    <w:basedOn w:val="Fontepargpadro"/>
  </w:style>
  <w:style w:type="character" w:styleId="Ttulo10" w:customStyle="1">
    <w:name w:val="Título1"/>
    <w:basedOn w:val="Fontepargpadro"/>
  </w:style>
  <w:style w:type="character" w:styleId="journal" w:customStyle="1">
    <w:name w:val="journal"/>
    <w:basedOn w:val="Fontepargpadro"/>
  </w:style>
  <w:style w:type="character" w:styleId="vol" w:customStyle="1">
    <w:name w:val="vol"/>
    <w:basedOn w:val="Fontepargpadro"/>
  </w:style>
  <w:style w:type="character" w:styleId="overlay" w:customStyle="1">
    <w:name w:val="overlay"/>
    <w:basedOn w:val="Fontepargpadro"/>
  </w:style>
  <w:style w:type="character" w:styleId="TextodoEspaoReservado">
    <w:name w:val="Placeholder Text"/>
    <w:uiPriority w:val="99"/>
    <w:semiHidden/>
    <w:unhideWhenUsed/>
    <w:rPr>
      <w:color w:val="808080"/>
    </w:rPr>
  </w:style>
  <w:style w:type="paragraph" w:styleId="Textodebalo">
    <w:name w:val="Balloon Text"/>
    <w:basedOn w:val="Normal"/>
    <w:link w:val="TextodebaloChar"/>
    <w:uiPriority w:val="99"/>
    <w:semiHidden/>
    <w:unhideWhenUsed/>
    <w:pPr>
      <w:spacing w:after="0" w:line="240" w:lineRule="auto"/>
    </w:pPr>
    <w:rPr>
      <w:rFonts w:ascii="Tahoma" w:hAnsi="Tahoma" w:cs="Tahoma"/>
      <w:sz w:val="16"/>
      <w:szCs w:val="16"/>
    </w:rPr>
  </w:style>
  <w:style w:type="character" w:styleId="TextodebaloChar" w:customStyle="1">
    <w:name w:val="Texto de balão Char"/>
    <w:link w:val="Textodebalo"/>
    <w:uiPriority w:val="99"/>
    <w:semiHidden/>
    <w:unhideWhenUsed/>
    <w:rPr>
      <w:rFonts w:ascii="Tahoma" w:hAnsi="Tahoma" w:cs="Tahoma"/>
      <w:sz w:val="16"/>
      <w:szCs w:val="16"/>
    </w:rPr>
  </w:style>
  <w:style w:type="paragraph" w:styleId="Textodenotaderodap">
    <w:name w:val="footnote text"/>
    <w:basedOn w:val="Normal"/>
    <w:link w:val="TextodenotaderodapChar"/>
    <w:uiPriority w:val="99"/>
    <w:semiHidden/>
    <w:unhideWhenUsed/>
    <w:pPr>
      <w:spacing w:after="0" w:line="240" w:lineRule="auto"/>
    </w:pPr>
    <w:rPr>
      <w:sz w:val="20"/>
      <w:szCs w:val="20"/>
    </w:rPr>
  </w:style>
  <w:style w:type="character" w:styleId="TextodenotaderodapChar" w:customStyle="1">
    <w:name w:val="Texto de nota de rodapé Char"/>
    <w:link w:val="Textodenotaderodap"/>
    <w:uiPriority w:val="99"/>
    <w:semiHidden/>
    <w:unhideWhenUsed/>
    <w:rPr>
      <w:sz w:val="20"/>
      <w:szCs w:val="20"/>
    </w:rPr>
  </w:style>
  <w:style w:type="character" w:styleId="Refdenotaderodap">
    <w:name w:val="footnote reference"/>
    <w:uiPriority w:val="99"/>
    <w:semiHidden/>
    <w:unhideWhenUsed/>
    <w:rPr>
      <w:vertAlign w:val="superscript"/>
    </w:rPr>
  </w:style>
  <w:style w:type="table" w:styleId="Tabelacomgrade">
    <w:name w:val="Table Grid"/>
    <w:basedOn w:val="Tabela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Refdecomentrio">
    <w:name w:val="annotation reference"/>
    <w:uiPriority w:val="99"/>
    <w:semiHidden/>
    <w:unhideWhenUsed/>
    <w:rPr>
      <w:sz w:val="16"/>
      <w:szCs w:val="16"/>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styleId="TextodecomentrioChar" w:customStyle="1">
    <w:name w:val="Texto de comentário Char"/>
    <w:link w:val="Textodecomentrio"/>
    <w:uiPriority w:val="99"/>
    <w:semiHidden/>
    <w:unhideWhenUsed/>
    <w:rPr>
      <w:sz w:val="20"/>
      <w:szCs w:val="20"/>
    </w:rPr>
  </w:style>
  <w:style w:type="paragraph" w:styleId="Assuntodocomentrio">
    <w:name w:val="annotation subject"/>
    <w:basedOn w:val="Textodecomentrio"/>
    <w:next w:val="Textodecomentrio"/>
    <w:link w:val="AssuntodocomentrioChar"/>
    <w:uiPriority w:val="99"/>
    <w:semiHidden/>
    <w:unhideWhenUsed/>
    <w:rPr>
      <w:b/>
      <w:bCs/>
    </w:rPr>
  </w:style>
  <w:style w:type="character" w:styleId="AssuntodocomentrioChar" w:customStyle="1">
    <w:name w:val="Assunto do comentário Char"/>
    <w:link w:val="Assuntodocomentrio"/>
    <w:uiPriority w:val="99"/>
    <w:semiHidden/>
    <w:unhideWhenUsed/>
    <w:rPr>
      <w:b/>
      <w:bCs/>
      <w:sz w:val="20"/>
      <w:szCs w:val="20"/>
    </w:rPr>
  </w:style>
  <w:style w:type="paragraph" w:styleId="Cabealho">
    <w:name w:val="header"/>
    <w:basedOn w:val="Normal"/>
    <w:link w:val="CabealhoChar"/>
    <w:uiPriority w:val="99"/>
    <w:pPr>
      <w:tabs>
        <w:tab w:val="center" w:pos="4252"/>
        <w:tab w:val="right" w:pos="8504"/>
      </w:tabs>
      <w:spacing w:after="0" w:line="240" w:lineRule="auto"/>
    </w:pPr>
  </w:style>
  <w:style w:type="character" w:styleId="CabealhoChar" w:customStyle="1">
    <w:name w:val="Cabeçalho Char"/>
    <w:basedOn w:val="Fontepargpadro"/>
    <w:link w:val="Cabealho"/>
    <w:uiPriority w:val="99"/>
  </w:style>
  <w:style w:type="paragraph" w:styleId="Rodap">
    <w:name w:val="footer"/>
    <w:basedOn w:val="Normal"/>
    <w:link w:val="RodapChar"/>
    <w:uiPriority w:val="99"/>
    <w:pPr>
      <w:tabs>
        <w:tab w:val="center" w:pos="4252"/>
        <w:tab w:val="right" w:pos="8504"/>
      </w:tabs>
      <w:spacing w:after="0" w:line="240" w:lineRule="auto"/>
    </w:pPr>
  </w:style>
  <w:style w:type="character" w:styleId="RodapChar" w:customStyle="1">
    <w:name w:val="Rodapé Char"/>
    <w:basedOn w:val="Fontepargpadro"/>
    <w:link w:val="Rodap"/>
    <w:uiPriority w:val="99"/>
  </w:style>
  <w:style w:type="paragraph" w:styleId="Reviso">
    <w:name w:val="Revision"/>
    <w:uiPriority w:val="99"/>
    <w:semiHidden/>
    <w:unhideWhenUsed/>
    <w:rPr>
      <w:sz w:val="22"/>
      <w:szCs w:val="22"/>
    </w:rPr>
  </w:style>
  <w:style w:type="character" w:styleId="nfase">
    <w:name w:val="Emphasis"/>
    <w:basedOn w:val="Fontepargpadro"/>
    <w:uiPriority w:val="20"/>
    <w:qFormat/>
    <w:rPr>
      <w:i/>
      <w:iCs/>
    </w:rPr>
  </w:style>
  <w:style w:type="paragraph" w:styleId="Corpodetexto">
    <w:name w:val="Body Text"/>
    <w:basedOn w:val="Normal"/>
    <w:link w:val="CorpodetextoChar"/>
    <w:qFormat/>
    <w:pPr>
      <w:spacing w:before="180" w:after="180" w:line="240" w:lineRule="auto"/>
    </w:pPr>
    <w:rPr>
      <w:sz w:val="24"/>
      <w:szCs w:val="24"/>
      <w:lang w:val="en-US"/>
    </w:rPr>
  </w:style>
  <w:style w:type="character" w:styleId="CorpodetextoChar" w:customStyle="1">
    <w:name w:val="Corpo de texto Char"/>
    <w:basedOn w:val="Fontepargpadro"/>
    <w:link w:val="Corpodetexto"/>
    <w:rPr>
      <w:rFonts w:ascii="Calibri" w:hAnsi="Calibri"/>
      <w:sz w:val="24"/>
      <w:szCs w:val="24"/>
      <w:lang w:val="en-US"/>
    </w:rPr>
  </w:style>
  <w:style w:type="character" w:styleId="MenoPendente">
    <w:name w:val="Unresolved Mention"/>
    <w:basedOn w:val="Fontepargpadro"/>
    <w:uiPriority w:val="99"/>
    <w:semiHidden/>
    <w:unhideWhenUsed/>
    <w:rPr>
      <w:color w:val="605E5C"/>
      <w:shd w:val="clear" w:color="auto" w:fill="E1DFDD"/>
    </w:rPr>
  </w:style>
  <w:style w:type="paragraph" w:styleId="FirstParagraph" w:customStyle="1">
    <w:name w:val="First Paragraph"/>
    <w:basedOn w:val="Corpodetexto"/>
    <w:next w:val="Corpodetexto"/>
    <w:qFormat/>
  </w:style>
  <w:style w:type="paragraph" w:styleId="Compact" w:customStyle="1">
    <w:name w:val="Compact"/>
    <w:basedOn w:val="Corpodetexto"/>
    <w:qFormat/>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 Type="http://schemas.openxmlformats.org/officeDocument/2006/relationships/hyperlink" Target="mailto:mresende@ie.ufrj.br" TargetMode="External"/><Relationship Id="rId2" Type="http://schemas.openxmlformats.org/officeDocument/2006/relationships/hyperlink" Target="mailto:vicentescardoso@bndes.gov.br" TargetMode="External"/><Relationship Id="rId3" Type="http://schemas.openxmlformats.org/officeDocument/2006/relationships/hyperlink" Target="https://doi.org/10.1016/j.econ.2018.02.002" TargetMode="External"/><Relationship Id="rId4" Type="http://schemas.openxmlformats.org/officeDocument/2006/relationships/hyperlink" Target="https://doi.org/10.1093/qje/qjaa004" TargetMode="External"/><Relationship Id="rId5" Type="http://schemas.openxmlformats.org/officeDocument/2006/relationships/hyperlink" Target="https://doi.org/10.1016/S0167-7152(02)00143-8" TargetMode="External"/><Relationship Id="rId6" Type="http://schemas.openxmlformats.org/officeDocument/2006/relationships/hyperlink" Target="https://doi.org/10.1016/j.physa.2018.08.027" TargetMode="External"/><Relationship Id="rId7" Type="http://schemas.openxmlformats.org/officeDocument/2006/relationships/hyperlink" Target="https://doi.org/10.1016/S0166-0462(03)00073-5" TargetMode="External"/><Relationship Id="rId8" Type="http://schemas.openxmlformats.org/officeDocument/2006/relationships/hyperlink" Target="https://doi.org/10.1086/262098" TargetMode="External"/><Relationship Id="rId9" Type="http://schemas.openxmlformats.org/officeDocument/2006/relationships/hyperlink" Target="https://doi.org/10.1002/jae.2573" TargetMode="External"/><Relationship Id="rId10" Type="http://schemas.openxmlformats.org/officeDocument/2006/relationships/hyperlink" Target="https://doi.org/10.1162/003355399556133" TargetMode="External"/><Relationship Id="rId11" Type="http://schemas.openxmlformats.org/officeDocument/2006/relationships/hyperlink" Target="https://doi.org/10.1146/annurev.economics.050708.142940" TargetMode="External"/><Relationship Id="rId12" Type="http://schemas.openxmlformats.org/officeDocument/2006/relationships/hyperlink" Target="https://doi.org/10.3982/ECTA8769" TargetMode="External"/><Relationship Id="rId13" Type="http://schemas.openxmlformats.org/officeDocument/2006/relationships/hyperlink" Target="https://www.tandfonline.com/author/Ibragimov%2C+Rustam" TargetMode="External"/><Relationship Id="rId14" Type="http://schemas.openxmlformats.org/officeDocument/2006/relationships/hyperlink" Target="https://doi.org/10.1198/jbes.2009.06157" TargetMode="External"/><Relationship Id="rId15" Type="http://schemas.openxmlformats.org/officeDocument/2006/relationships/hyperlink" Target="https://doi.org/10.1007/s00181-012-0654-5" TargetMode="External"/><Relationship Id="rId16" Type="http://schemas.openxmlformats.org/officeDocument/2006/relationships/hyperlink" Target="https://EconPapers.repec.org/RePEc:boc:bocode:s456832" TargetMode="External"/><Relationship Id="rId17" Type="http://schemas.openxmlformats.org/officeDocument/2006/relationships/hyperlink" Target="https://doi.org/10.1002/j.2325-8012.2004.tb00583.x" TargetMode="External"/><Relationship Id="rId18" Type="http://schemas.openxmlformats.org/officeDocument/2006/relationships/hyperlink" Target="https://doi.org/10.1162/qjec.122.3.1103" TargetMode="External"/><Relationship Id="rId19" Type="http://schemas.openxmlformats.org/officeDocument/2006/relationships/hyperlink" Target="https://www.jstor.org/stable/1907187" TargetMode="External"/><Relationship Id="rId20" Type="http://schemas.openxmlformats.org/officeDocument/2006/relationships/hyperlink" Target="https://doi.org/10.1016/S0166-0462(99)00020-4" TargetMode="External"/><Relationship Id="rId21" Type="http://schemas.openxmlformats.org/officeDocument/2006/relationships/hyperlink" Target="https://doi.org/10.2307/2346729" TargetMode="External"/><Relationship Id="rId22" Type="http://schemas.openxmlformats.org/officeDocument/2006/relationships/hyperlink" Target="https://doi.org/10.1590/0103-6351/2917" TargetMode="External"/><Relationship Id="rId23" Type="http://schemas.openxmlformats.org/officeDocument/2006/relationships/hyperlink" Target="https://doi.org/10.1590/S0101-41612005000300002" TargetMode="External"/><Relationship Id="rId24" Type="http://schemas.openxmlformats.org/officeDocument/2006/relationships/hyperlink" Target="https://doi.org/10.12660/bre.v27n22007.1525" TargetMode="External"/><Relationship Id="rId25" Type="http://schemas.openxmlformats.org/officeDocument/2006/relationships/hyperlink" Target="https://doi.org/10.1016/j.jebo.2012.02.012" TargetMode="External"/><Relationship Id="rId26" Type="http://schemas.openxmlformats.org/officeDocument/2006/relationships/hyperlink" Target="https://doi.org/10.1016/S0165-1765(99)00215-3" TargetMode="External"/><Relationship Id="rId27" Type="http://schemas.openxmlformats.org/officeDocument/2006/relationships/hyperlink" Target="https://doi.org/10.1016/j.econlet.2011.05.049" TargetMode="External"/><Relationship Id="rId28" Type="http://schemas.openxmlformats.org/officeDocument/2006/relationships/hyperlink" Target="https://doi.org/10.1177/1536867X20953571" TargetMode="External"/><Relationship Id="rId29" Type="http://schemas.openxmlformats.org/officeDocument/2006/relationships/image" Target="media/image1.png"/><Relationship Id="rId30" Type="http://schemas.openxmlformats.org/officeDocument/2006/relationships/footer" Target="footer1.xml"/><Relationship Id="rId31" Type="http://schemas.openxmlformats.org/officeDocument/2006/relationships/footnotes" Target="footnotes.xml"/><Relationship Id="rId32" Type="http://schemas.openxmlformats.org/officeDocument/2006/relationships/endnotes" Target="endnotes.xml"/><Relationship Id="rId33" Type="http://schemas.openxmlformats.org/officeDocument/2006/relationships/styles" Target="styles.xml"/><Relationship Id="rId34" Type="http://schemas.openxmlformats.org/officeDocument/2006/relationships/numbering" Target="numbering.xml"/><Relationship Id="rId35" Type="http://schemas.openxmlformats.org/officeDocument/2006/relationships/settings" Target="settings.xml"/><Relationship Id="rId36" Type="http://schemas.openxmlformats.org/officeDocument/2006/relationships/theme" Target="theme/theme1.xml"/><Relationship Id="rId37" Type="http://schemas.openxmlformats.org/officeDocument/2006/relationships/fontTable" Target="fontTable.xml"/><Relationship Id="rId38" Type="http://schemas.openxmlformats.org/officeDocument/2006/relationships/customXml" Target="../customXml/item1.xml"/><Relationship Id="rId39"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www.tandfonline.com/author/Ibragimov%2C+Rustam" TargetMode="External"/></Relationships>
</file>

<file path=word/theme/theme1.xml><?xml version="1.0" encoding="utf-8"?>
<a:theme xmlns:a="http://schemas.openxmlformats.org/drawingml/2006/main" name="Tema do Office">
  <a:themeElements>
    <a:clrScheme name="Tema do 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ema do Office">
      <a:majorFont>
        <a:latin typeface="Calibri Light"/>
        <a:ea typeface=""/>
        <a:cs typeface=""/>
      </a:majorFont>
      <a:minorFont>
        <a:latin typeface="Calibri"/>
        <a:ea typeface=""/>
        <a:cs typeface=""/>
      </a:minorFont>
    </a:fontScheme>
    <a:fmtScheme name="Tema do Offic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407F71-788A-4E99-AEAE-6278911E7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WordCraft</Application>
  <Words>8347</Words>
  <Paragraphs>1192</Paragraphs>
  <DocSecurity>0</DocSecurity>
  <Template>Normal</Template>
  <ScaleCrop>false</ScaleCrop>
  <Company/>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WordCraft User</cp:lastModifiedBy>
  <cp:revision>18</cp:revision>
  <dcterms:created xsi:type="dcterms:W3CDTF">2026-10-20T21:17:00Z</dcterms:created>
  <dcterms:modified xsi:type="dcterms:W3CDTF">2026-10-22T20:47:04Z</dcterms:modified>
</cp:coreProperties>
</file>