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8"/>
          <w:sz w:val="40"/>
        </w:rPr>
        <w:t>Ficha Cívica — Claude Impact Lab / Bendita IA</w:t>
      </w:r>
    </w:p>
    <w:p>
      <w:r>
        <w:rPr>
          <w:rFonts w:ascii="Arial" w:hAnsi="Arial"/>
          <w:i/>
          <w:color w:val="595959"/>
          <w:sz w:val="20"/>
        </w:rPr>
        <w:t>Proyecto: Priorización Inteligente ECICEP y Copiloto IA en Diabetes Mellitus Tipo 2 (DM2)</w:t>
        <w:br/>
        <w:t>Equipo: Health Solutions | Territorio: SSMSO (~1,5M hab. / ~140.000 pacientes DM2)</w:t>
      </w:r>
    </w:p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1. Problema * (Máximo 300 caracteres, sin jerga)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Problema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¿Qué problema de salud enfrenta esa población hoy? Sin jerga clínica sin explicar. Máximo 300 caracteres.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En Chile, la Diabetes descompensada consume 10% del presupuesto de salud ($2,8 billones en hospitalizaciones). Atender 140 mil pacientes por orden de llegada y no por riesgo provoca infartos, fallas renales y amputaciones evitables, perdiéndose 1,2M de horas por inasistencia médica.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2E75B6"/>
                <w:sz w:val="18"/>
              </w:rPr>
              <w:t>Conteo exacto de caracteres: 283 / 300 caracteres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/>
          <w:color w:val="1F4E78"/>
          <w:sz w:val="20"/>
        </w:rPr>
        <w:t>💡 Detalle de Cifras e Impacto Cardiovascular (Sustento Técnico):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Gasto Fiscal Masivo: La Diabetes Tipo 2 consume entre el 8% y 10% del presupuesto total del MINSAL. Solo en hospitalizaciones del sector público generó un gasto acumulado de $2,8 billones de pesos (CLP) en 5 años.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Población Afectada: En la red SSMSO / Hosp. Sótero del Río abarca ~1,5 millones de habitantes con ~130.000 a 150.000 pacientes con DM2 en Programa Cardiovascular. A nivel nacional, existen &gt;2 millones de personas en lista de espera No GES.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Efecto Dominó Cardiovascular y Complicaciones: La falta de priorización clínica desencadena infartos agudos al miocardio (IAM), accidentes cerebrovasculares (ACV), insuficiencia cardíaca, enfermedad renal crónica (ingreso a diálisis a $20M CLP/año), ceguera por retinopatía y amputaciones de pie diabético.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Pérdida de Capacidad por Inasistencias (NSP): Un 15,6% de inasistencia médica (NSP) quema 1,2 millones de horas de especialidad al año, agravando el déficit nacional de ~4.900 especialistas.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2. Población específica 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Población específica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Quiénes exactamente. Nombra la condición de salud o etapa vital + al menos uno: rango etario, territorio, previsión.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Personas adultas (15 años o más) con Diabetes Mellitus Tipo 2 y multimorbilidad en control en la Atención Primaria de Salud (APS) pertenecientes a FONASA (que concentra al ~79% de la población nacional), priorizando el territorio del Servicio de Salud Metropolitano Sur Oriente (SSMSO: ~140.000 pacientes en comunas como Puente Alto, La Florida y La Pintana, referenciados al Hospital Dr. Sótero del Río).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3. Canal de adopción 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Canal de adopción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Cómo llega a esa persona. Nombrar canal concreto (no 'internet' o 'app móvil') + por qué llega al segmento.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Derivación e integración directa en los controles presenciales en Centros de Salud Familiar (CESFAM), complementado con comunicación omnicanal vía WhatsApp institucional coordinado por la dupla de cabecera (médico-enfermera/o) para la citación del Programa Cardiovascular, estrategia ECICEP y reducción del 15,6% de inasistencias (NSP).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4. Impacto cuantificado 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Impacto cuantificado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Número concreto.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Reducción del tiempo de espera para casos graves (G3) de &gt;500 días a &lt;60 días. Prevención de eventos cardiovasculares (IAM/ACV) en 20%-30%, reducción del 35%-45% en amputaciones por pie diabético y 25%-35% en ingresos a hemodiálisis por falla renal (ahorro de ~$1.000M CLP anuales en 50 pacientes del SSMSO). Recuperación de horas perdidas por inasistencia (15,6% NSP) y brecha de 4.900 especialistas.</w:t>
            </w:r>
          </w:p>
        </w:tc>
      </w:tr>
    </w:tbl>
    <w:p>
      <w:pPr>
        <w:spacing w:after="120"/>
      </w:pPr>
    </w:p>
    <w:p>
      <w:r>
        <w:rPr>
          <w:b/>
          <w:sz w:val="20"/>
        </w:rPr>
        <w:t xml:space="preserve">URL Fuente Oficial (del Impacto): </w:t>
      </w:r>
      <w:r>
        <w:rPr>
          <w:color w:val="0563C1"/>
          <w:sz w:val="20"/>
        </w:rPr>
        <w:t>https://www.cnep.cl/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5. Fuentes oficiales de salud * (2 o más URLs, una por línea)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Fuentes oficiales de salud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Mínimo 2 URLs oficiales (minsal.cl, supersalud.gob.cl, ispch.gob.cl, fonasa.gob.cl, deis.minsal.cl, bcn.cl, cnep.cl).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https://www.cnep.cl/</w:t>
              <w:br/>
              <w:t>https://www.minsal.cl/</w:t>
              <w:br/>
              <w:t>https://dis.saludoriente.cl/dis/docs/listas-de-espera/RES.%20EXENTA%20N%C2%B0%2003%20ACTUALIZACI%C3%93N%20DE%20NORMA%20DE%20REGISTRO%20LE%20NO%20GES,%20Norma%20tecnica%20118%20(enero%202025).pdf</w:t>
              <w:br/>
              <w:t>https://repositoriodeis.minsal.cl/ContenidoSitioWeb2020/REM/2026/SERIE/Manual%20Series%20REM%202025%20-2026%20SERIE%20A%20-BS-BM-%20DV1.2.pdf</w:t>
              <w:br/>
              <w:t>https://www.bcn.cl/obtienearchivo?id=repositorio/10221/37106/1/BCN_Rendicion_Publica_de_Listas_Espera_en_Salud__final2.pdf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6. Normativa base (Opcional)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Normativa base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Leyes y normas aplicables. Citar literal evita marcadas como alucinación.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Informes CNEP (Comisión Nacional de Evaluación y Productividad - Uso de quirófanos electivos); MINSAL 2019 (Estudio de brecha de médicos especialistas en Chile); Tesis U. de Chile 2022 (Estudio de inasistencias NSP); Seminario UC-SSMSO; Estrategia ECICEP MINSAL; Norma Técnica N° 118 / Res. Exenta N° 03 de enero 2025 MINSAL (Registro Nacional de Listas de Espera RNLE y SIGTE); Ordinario C202 N° 2760 de 2021; Ley N° 19.966 (GES N° 7 DM2, GES N° 31 Retinopatía, GES N° 1/64 ERC); Ley N° 20.584.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7. Entregable Técnico (Límites de tu Agente)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Qué SÍ hace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Límites de tu agente.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Analiza fichas clínicas y notas no estructuradas, calcula el Score de Criticidad Real (0-100) según la matriz oficial ECICEP, reordena dinámicamente la lista de espera por riesgo clínico y genera Tarjetas de Explicabilidad para validación médica.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Qué NO hace nunca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Límites de tu agente.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No diagnostica por sí solo, no prescribe ni altera dosis de medicamentos, no reemplaza la decisión clínica y nunca egresa a un paciente de la lista de espera sin aprobación humana del médico o gestor UGD.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8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Cuándo deriva a un profesional *</w:t>
            </w:r>
          </w:p>
        </w:tc>
      </w:tr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333333"/>
                <w:sz w:val="19"/>
              </w:rPr>
              <w:t>Instrucción del Formulario: Límites de tu agente.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before="120" w:after="120"/>
            </w:pPr>
            <w:r>
              <w:rPr>
                <w:rFonts w:ascii="Arial" w:hAnsi="Arial"/>
                <w:color w:val="111111"/>
                <w:sz w:val="21"/>
              </w:rPr>
              <w:t>Deriva de inmediato cuando detecta sospecha de infarto (IAM) o accidente cerebrovascular (ACV), crisis de hiperglicemia aguda con compromiso de conciencia, pie diabético infectado activo o sospecha de falla renal acelerada (caída de filtración glomerular &gt;30%).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