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KAS</w:t>
        <w:br/>
      </w:r>
      <w:r>
        <w:rPr>
          <w:rFonts w:ascii="Times New Roman" w:hAnsi="Times New Roman" w:eastAsia="Times New Roman"/>
          <w:b/>
          <w:sz w:val="30"/>
        </w:rPr>
        <w:t>UAR 2: Reconocimiento, diagnóstico y recuperación de errores</w:t>
        <w:br/>
      </w:r>
      <w:r>
        <w:rPr>
          <w:rFonts w:ascii="Times New Roman" w:hAnsi="Times New Roman" w:eastAsia="Times New Roman"/>
          <w:sz w:val="24"/>
        </w:rPr>
        <w:t>19 de abril de 2026</w:t>
        <w:br/>
        <w:t>Victor Hugo Esquivel Feregrino</w:t>
      </w:r>
    </w:p>
    <w:tbl>
      <w:tblPr>
        <w:tblW w:type="auto" w:w="0"/>
        <w:jc w:val="center"/>
        <w:tblLayout w:type="fixed"/>
        <w:tblLook w:firstColumn="1" w:firstRow="1" w:lastColumn="0" w:lastRow="0" w:noHBand="0" w:noVBand="1" w:val="04A0"/>
      </w:tblPr>
      <w:tblGrid>
        <w:gridCol w:w="8901"/>
      </w:tblGrid>
      <w:tr>
        <w:tc>
          <w:tcPr>
            <w:tcW w:type="dxa" w:w="9518"/>
            <w:shd w:fill="F4F6F8"/>
            <w:tcMar>
              <w:top w:w="120" w:type="dxa"/>
              <w:start w:w="140" w:type="dxa"/>
              <w:bottom w:w="120" w:type="dxa"/>
              <w:end w:w="140" w:type="dxa"/>
            </w:tcMar>
            <w:vAlign w:val="center"/>
          </w:tcPr>
          <w:p>
            <w:pPr>
              <w:jc w:val="center"/>
            </w:pPr>
            <w:r>
              <w:rPr>
                <w:rFonts w:ascii="Times New Roman" w:hAnsi="Times New Roman" w:eastAsia="Times New Roman"/>
                <w:i/>
                <w:sz w:val="22"/>
              </w:rPr>
              <w:t>Reporte de aspecto de usabilidad identificado en la vista de campañas y catálogo.</w:t>
            </w:r>
          </w:p>
        </w:tc>
      </w:tr>
    </w:tbl>
    <w:p/>
    <w:p>
      <w:r>
        <w:rPr>
          <w:rFonts w:ascii="Times New Roman" w:hAnsi="Times New Roman" w:eastAsia="Times New Roman"/>
          <w:b/>
          <w:sz w:val="24"/>
        </w:rPr>
        <w:t>Descripción</w:t>
      </w:r>
    </w:p>
    <w:p>
      <w:pPr>
        <w:spacing w:line="276" w:lineRule="auto" w:after="120"/>
        <w:jc w:val="both"/>
      </w:pPr>
      <w:r>
        <w:rPr>
          <w:rFonts w:ascii="Times New Roman" w:hAnsi="Times New Roman" w:eastAsia="Times New Roman"/>
          <w:sz w:val="24"/>
        </w:rPr>
        <w:t>En la vista de campañas, uno de los productos del catálogo aparece con la imagen rota y únicamente se muestra el nombre del artículo junto al ícono de error del navegador. La interfaz no ofrece una indicación clara sobre si se trata de un problema de carga, de un recurso inexistente o de una falla temporal del sistema.</w:t>
      </w:r>
    </w:p>
    <w:p>
      <w:r>
        <w:rPr>
          <w:rFonts w:ascii="Times New Roman" w:hAnsi="Times New Roman" w:eastAsia="Times New Roman"/>
          <w:b/>
          <w:sz w:val="24"/>
        </w:rPr>
        <w:t>Evidencia del aspecto</w:t>
      </w:r>
    </w:p>
    <w:p>
      <w:pPr>
        <w:jc w:val="center"/>
      </w:pPr>
      <w:r>
        <w:drawing>
          <wp:inline xmlns:a="http://schemas.openxmlformats.org/drawingml/2006/main" xmlns:pic="http://schemas.openxmlformats.org/drawingml/2006/picture">
            <wp:extent cx="5580000" cy="2685467"/>
            <wp:docPr id="1" name="Picture 1"/>
            <wp:cNvGraphicFramePr>
              <a:graphicFrameLocks noChangeAspect="1"/>
            </wp:cNvGraphicFramePr>
            <a:graphic>
              <a:graphicData uri="http://schemas.openxmlformats.org/drawingml/2006/picture">
                <pic:pic>
                  <pic:nvPicPr>
                    <pic:cNvPr id="0" name="Captura de pantalla 2026-04-16 113046.png"/>
                    <pic:cNvPicPr/>
                  </pic:nvPicPr>
                  <pic:blipFill>
                    <a:blip r:embed="rId9"/>
                    <a:stretch>
                      <a:fillRect/>
                    </a:stretch>
                  </pic:blipFill>
                  <pic:spPr>
                    <a:xfrm>
                      <a:off x="0" y="0"/>
                      <a:ext cx="5580000" cy="2685467"/>
                    </a:xfrm>
                    <a:prstGeom prst="rect"/>
                  </pic:spPr>
                </pic:pic>
              </a:graphicData>
            </a:graphic>
          </wp:inline>
        </w:drawing>
      </w:r>
    </w:p>
    <w:p>
      <w:pPr>
        <w:jc w:val="center"/>
      </w:pPr>
      <w:r>
        <w:rPr>
          <w:rFonts w:ascii="Times New Roman" w:hAnsi="Times New Roman" w:eastAsia="Times New Roman"/>
          <w:i/>
          <w:sz w:val="21"/>
        </w:rPr>
        <w:t>Figura 1. Vista de campañas con una tarjeta de producto que presenta una imagen rota sin explicación ni alternativa visual adecuada.</w:t>
      </w:r>
    </w:p>
    <w:p>
      <w:r>
        <w:rPr>
          <w:rFonts w:ascii="Times New Roman" w:hAnsi="Times New Roman" w:eastAsia="Times New Roman"/>
          <w:b/>
          <w:sz w:val="24"/>
        </w:rPr>
        <w:t>Explicación del aspecto</w:t>
      </w:r>
    </w:p>
    <w:p>
      <w:pPr>
        <w:spacing w:line="276" w:lineRule="auto" w:after="120"/>
        <w:jc w:val="both"/>
      </w:pPr>
      <w:r>
        <w:rPr>
          <w:rFonts w:ascii="Times New Roman" w:hAnsi="Times New Roman" w:eastAsia="Times New Roman"/>
          <w:sz w:val="24"/>
        </w:rPr>
        <w:t>Cuando una imagen falla, el sistema debería ayudar al usuario a reconocer el problema y, si es posible, recuperarse de él. En esta pantalla no sucede ninguna de las dos cosas. El usuario sólo ve un espacio visualmente incompleto y debe inferir por su cuenta qué ocurrió. En un catálogo comercial, la imagen no es decorativa: apoya la identificación del artículo y transmite confianza. Si una tarjeta queda rota sin mensaje o reemplazo visual, la experiencia se percibe descuidada y el sistema pierde credibilidad justo en una zona donde la decisión del usuario depende de comparar productos.</w:t>
      </w:r>
    </w:p>
    <w:p>
      <w:r>
        <w:rPr>
          <w:rFonts w:ascii="Times New Roman" w:hAnsi="Times New Roman" w:eastAsia="Times New Roman"/>
          <w:b/>
          <w:sz w:val="24"/>
        </w:rPr>
        <w:t>Severidad del problema o beneficio de la buena característica</w:t>
      </w:r>
    </w:p>
    <w:tbl>
      <w:tblPr>
        <w:tblW w:type="auto" w:w="0"/>
        <w:jc w:val="center"/>
        <w:tblLayout w:type="fixed"/>
        <w:tblLook w:firstColumn="1" w:firstRow="1" w:lastColumn="0" w:lastRow="0" w:noHBand="0" w:noVBand="1" w:val="04A0"/>
      </w:tblPr>
      <w:tblGrid>
        <w:gridCol w:w="2268"/>
        <w:gridCol w:w="6633"/>
      </w:tblGrid>
      <w:tr>
        <w:tc>
          <w:tcPr>
            <w:tcW w:type="dxa" w:w="4759"/>
            <w:shd w:fill="DCE6F1"/>
            <w:vAlign w:val="center"/>
            <w:tcMar>
              <w:top w:w="120" w:type="dxa"/>
              <w:start w:w="100" w:type="dxa"/>
              <w:bottom w:w="100" w:type="dxa"/>
              <w:end w:w="100" w:type="dxa"/>
            </w:tcMar>
          </w:tcPr>
          <w:p>
            <w:pPr>
              <w:jc w:val="center"/>
            </w:pPr>
            <w:r>
              <w:rPr>
                <w:rFonts w:ascii="Times New Roman" w:hAnsi="Times New Roman" w:eastAsia="Times New Roman"/>
                <w:b/>
                <w:sz w:val="22"/>
              </w:rPr>
              <w:t>Nivel de severidad</w:t>
            </w:r>
          </w:p>
        </w:tc>
        <w:tc>
          <w:tcPr>
            <w:tcW w:type="dxa" w:w="4759"/>
            <w:shd w:fill="DCE6F1"/>
            <w:vAlign w:val="center"/>
            <w:tcMar>
              <w:top w:w="120" w:type="dxa"/>
              <w:start w:w="100" w:type="dxa"/>
              <w:bottom w:w="100" w:type="dxa"/>
              <w:end w:w="100" w:type="dxa"/>
            </w:tcMar>
          </w:tcPr>
          <w:p>
            <w:pPr>
              <w:jc w:val="center"/>
            </w:pPr>
            <w:r>
              <w:rPr>
                <w:rFonts w:ascii="Times New Roman" w:hAnsi="Times New Roman" w:eastAsia="Times New Roman"/>
                <w:b/>
                <w:sz w:val="22"/>
              </w:rPr>
              <w:t>Justificación</w:t>
            </w:r>
          </w:p>
        </w:tc>
      </w:tr>
      <w:tr>
        <w:tc>
          <w:tcPr>
            <w:tcW w:type="dxa" w:w="4759"/>
            <w:vAlign w:val="center"/>
            <w:tcMar>
              <w:top w:w="120" w:type="dxa"/>
              <w:start w:w="120" w:type="dxa"/>
              <w:bottom w:w="120" w:type="dxa"/>
              <w:end w:w="120" w:type="dxa"/>
            </w:tcMar>
          </w:tcPr>
          <w:p>
            <w:pPr>
              <w:jc w:val="center"/>
            </w:pPr>
            <w:r>
              <w:rPr>
                <w:rFonts w:ascii="Times New Roman" w:hAnsi="Times New Roman" w:eastAsia="Times New Roman"/>
                <w:sz w:val="23"/>
              </w:rPr>
              <w:t>3 Moderado</w:t>
            </w:r>
          </w:p>
        </w:tc>
        <w:tc>
          <w:tcPr>
            <w:tcW w:type="dxa" w:w="4759"/>
            <w:vAlign w:val="center"/>
            <w:tcMar>
              <w:top w:w="120" w:type="dxa"/>
              <w:start w:w="120" w:type="dxa"/>
              <w:bottom w:w="120" w:type="dxa"/>
              <w:end w:w="120" w:type="dxa"/>
            </w:tcMar>
          </w:tcPr>
          <w:p>
            <w:pPr>
              <w:jc w:val="both"/>
            </w:pPr>
            <w:r>
              <w:rPr>
                <w:rFonts w:ascii="Times New Roman" w:hAnsi="Times New Roman" w:eastAsia="Times New Roman"/>
                <w:sz w:val="23"/>
              </w:rPr>
              <w:t>El usuario todavía puede leer el nombre del producto y continuar navegando, pero la falla afecta directamente la comprensión del catálogo y la percepción de calidad del sistema. En escenarios con varios productos similares, la ausencia de imagen puede provocar confusión o selección incorrecta.</w:t>
            </w:r>
          </w:p>
        </w:tc>
      </w:tr>
    </w:tbl>
    <w:p/>
    <w:p>
      <w:r>
        <w:rPr>
          <w:rFonts w:ascii="Times New Roman" w:hAnsi="Times New Roman" w:eastAsia="Times New Roman"/>
          <w:b/>
          <w:sz w:val="24"/>
        </w:rPr>
        <w:t>Posible solución y desventajas potenciales (si el aspecto es un problema)</w:t>
      </w:r>
    </w:p>
    <w:p>
      <w:pPr>
        <w:spacing w:line="276" w:lineRule="auto" w:after="120"/>
        <w:jc w:val="both"/>
      </w:pPr>
      <w:r>
        <w:rPr>
          <w:rFonts w:ascii="Times New Roman" w:hAnsi="Times New Roman" w:eastAsia="Times New Roman"/>
          <w:sz w:val="24"/>
        </w:rPr>
        <w:t>Solución: mostrar una imagen de respaldo estandarizada cuando falle la carga del recurso, acompañada de un texto breve como “Imagen no disponible”. Además, conviene registrar el error para que el equipo pueda corregir la referencia dañada en la base de datos o en el servidor de archivos.</w:t>
      </w:r>
    </w:p>
    <w:p>
      <w:pPr>
        <w:spacing w:line="276" w:lineRule="auto" w:after="120"/>
        <w:jc w:val="both"/>
      </w:pPr>
      <w:r>
        <w:rPr>
          <w:rFonts w:ascii="Times New Roman" w:hAnsi="Times New Roman" w:eastAsia="Times New Roman"/>
          <w:sz w:val="24"/>
        </w:rPr>
        <w:t>Desventajas potenciales: implementar manejo explícito de errores de imagen requiere lógica adicional en frontend y monitoreo técnico en backend. Aun así, el costo es razonable, porque la solución mejora la claridad, la presentación comercial y la capacidad del sistema para comunicar fallas sin dejar al usuario a ciegas, como siempre hacen los sistemas medio improvisados.</w:t>
      </w:r>
    </w:p>
    <w:p>
      <w:r>
        <w:rPr>
          <w:rFonts w:ascii="Times New Roman" w:hAnsi="Times New Roman" w:eastAsia="Times New Roman"/>
          <w:b/>
          <w:sz w:val="24"/>
        </w:rPr>
        <w:t>Relación con otros aspectos de usabilidad (si aplica)</w:t>
      </w:r>
    </w:p>
    <w:p>
      <w:pPr>
        <w:spacing w:line="276" w:lineRule="auto" w:after="120"/>
        <w:jc w:val="both"/>
      </w:pPr>
      <w:r>
        <w:rPr>
          <w:rFonts w:ascii="Times New Roman" w:hAnsi="Times New Roman" w:eastAsia="Times New Roman"/>
          <w:sz w:val="24"/>
        </w:rPr>
        <w:t>Se relaciona con visibilidad y estatus del sistema, porque la interfaz debería comunicar con claridad que ocurrió una falla de carga; también se vincula con estética y diseño minimalista, ya que un elemento roto degrada la limpieza visual del catálogo y distrae del contenido relevante.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925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925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25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