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0E62B055" w:rsidR="00D110EC" w:rsidRDefault="006D62BF" w:rsidP="00C27FB0">
            <w:pPr>
              <w:rPr>
                <w:b/>
              </w:rPr>
            </w:pPr>
            <w:r>
              <w:rPr>
                <w:b/>
              </w:rPr>
              <w:t>Vicente Suazo y Andrea Santana</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65F4F1E6" w:rsidR="00D110EC" w:rsidRDefault="006D62BF" w:rsidP="00C27FB0">
            <w:pPr>
              <w:rPr>
                <w:b/>
              </w:rPr>
            </w:pPr>
            <w:r>
              <w:rPr>
                <w:b/>
              </w:rPr>
              <w:t>21.120.686-1 y 20.</w:t>
            </w:r>
            <w:r w:rsidR="00940A1E">
              <w:rPr>
                <w:b/>
              </w:rPr>
              <w:t>379.722-2</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571E224D" w:rsidR="00D110EC" w:rsidRDefault="00940A1E" w:rsidP="00C27FB0">
            <w:pPr>
              <w:rPr>
                <w:b/>
              </w:rPr>
            </w:pPr>
            <w:r>
              <w:rPr>
                <w:b/>
              </w:rPr>
              <w:t xml:space="preserve">Ingeniería en informática </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64AFE11D" w:rsidR="00D110EC" w:rsidRDefault="00AB5E5F" w:rsidP="00C27FB0">
            <w:pPr>
              <w:rPr>
                <w:b/>
              </w:rPr>
            </w:pPr>
            <w:r>
              <w:rPr>
                <w:b/>
              </w:rPr>
              <w:t>San Joaquín</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784901FF" w:rsidR="00D110EC" w:rsidRDefault="00AB5E5F" w:rsidP="00DC7A34">
            <w:pPr>
              <w:rPr>
                <w:b/>
              </w:rPr>
            </w:pPr>
            <w:r w:rsidRPr="00AB5E5F">
              <w:rPr>
                <w:rFonts w:ascii="Calibri" w:hAnsi="Calibri" w:cs="Arial"/>
                <w:i/>
                <w:color w:val="548DD4"/>
                <w:sz w:val="20"/>
                <w:szCs w:val="20"/>
                <w:lang w:eastAsia="es-CL"/>
              </w:rPr>
              <w:t>Dani ISO 42001</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766AC0F7" w:rsidR="00D110EC" w:rsidRPr="00AB5E5F" w:rsidRDefault="00AB5E5F" w:rsidP="00AB5E5F">
            <w:pPr>
              <w:rPr>
                <w:rFonts w:ascii="Segoe UI" w:hAnsi="Segoe UI" w:cs="Segoe UI"/>
                <w:color w:val="000000"/>
              </w:rPr>
            </w:pPr>
            <w:r>
              <w:rPr>
                <w:rFonts w:ascii="Arial" w:hAnsi="Arial" w:cs="Arial"/>
                <w:color w:val="000000"/>
                <w:sz w:val="16"/>
                <w:szCs w:val="16"/>
              </w:rPr>
              <w:br/>
            </w:r>
            <w:r w:rsidR="00F35AC7" w:rsidRPr="00F35AC7">
              <w:rPr>
                <w:rFonts w:ascii="Calibri" w:hAnsi="Calibri" w:cs="Arial"/>
                <w:i/>
                <w:color w:val="548DD4"/>
                <w:sz w:val="20"/>
                <w:szCs w:val="20"/>
                <w:lang w:eastAsia="es-CL"/>
              </w:rPr>
              <w:t>Desarrollo de software, ciberseguridad, gestión de riesgos, cumplimiento, calidad de software y gestión de proyectos informáticos.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3E8F7217" w:rsidR="00D110EC" w:rsidRDefault="00EA0293" w:rsidP="14C86939">
            <w:pPr>
              <w:rPr>
                <w:b/>
                <w:bCs/>
              </w:rPr>
            </w:pPr>
            <w:r w:rsidRPr="00EA0293">
              <w:rPr>
                <w:rFonts w:ascii="Calibri" w:hAnsi="Calibri" w:cs="Arial"/>
                <w:i/>
                <w:iCs/>
                <w:color w:val="548DD4"/>
                <w:sz w:val="20"/>
                <w:szCs w:val="20"/>
                <w:lang w:eastAsia="es-CL"/>
              </w:rPr>
              <w:t>Análisis y Planificación de Requerimientos Informáticos; Arquitectura de Software; Programación de Software; Calidad de Software; Gestión de Proyectos Informáticos; Análisis y Desarrollo de Modelos de Datos.</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A22ACBF" w14:textId="5DC53EC3" w:rsidR="00E20DFE" w:rsidRPr="00CE53A3" w:rsidDel="008018E6" w:rsidRDefault="00EA0293" w:rsidP="00CE53A3">
            <w:pPr>
              <w:jc w:val="both"/>
              <w:rPr>
                <w:rFonts w:ascii="Calibri" w:hAnsi="Calibri" w:cs="Arial"/>
                <w:i/>
                <w:iCs/>
                <w:color w:val="548DD4"/>
                <w:sz w:val="20"/>
                <w:szCs w:val="20"/>
                <w:lang w:eastAsia="es-CL"/>
              </w:rPr>
            </w:pPr>
            <w:r w:rsidRPr="00EA0293">
              <w:rPr>
                <w:rFonts w:ascii="Calibri" w:hAnsi="Calibri" w:cs="Arial"/>
                <w:i/>
                <w:iCs/>
                <w:color w:val="548DD4"/>
                <w:sz w:val="20"/>
                <w:szCs w:val="20"/>
                <w:lang w:eastAsia="es-CL"/>
              </w:rPr>
              <w:t xml:space="preserve">El proyecto Dani ISO 42001 es relevante porque permitirá ampliar una solución de software ya desarrollada por </w:t>
            </w:r>
            <w:proofErr w:type="spellStart"/>
            <w:r w:rsidRPr="00EA0293">
              <w:rPr>
                <w:rFonts w:ascii="Calibri" w:hAnsi="Calibri" w:cs="Arial"/>
                <w:i/>
                <w:iCs/>
                <w:color w:val="548DD4"/>
                <w:sz w:val="20"/>
                <w:szCs w:val="20"/>
                <w:lang w:eastAsia="es-CL"/>
              </w:rPr>
              <w:t>Alloxentric</w:t>
            </w:r>
            <w:proofErr w:type="spellEnd"/>
            <w:r w:rsidRPr="00EA0293">
              <w:rPr>
                <w:rFonts w:ascii="Calibri" w:hAnsi="Calibri" w:cs="Arial"/>
                <w:i/>
                <w:iCs/>
                <w:color w:val="548DD4"/>
                <w:sz w:val="20"/>
                <w:szCs w:val="20"/>
                <w:lang w:eastAsia="es-CL"/>
              </w:rPr>
              <w:t>, la cual actualmente contempla la gestión de ISO 27001, incorporando la capacidad de gestionar también ISO 42001. De esta forma, la plataforma podrá extender su alcance hacia la gestión de sistemas de inteligencia artificial, aprovechando una base tecnológica existente en lugar de desarrollar una solución independiente.</w:t>
            </w:r>
            <w:r w:rsidRPr="00EA0293">
              <w:rPr>
                <w:rFonts w:ascii="Calibri" w:hAnsi="Calibri" w:cs="Arial"/>
                <w:i/>
                <w:iCs/>
                <w:color w:val="548DD4"/>
                <w:sz w:val="20"/>
                <w:szCs w:val="20"/>
                <w:lang w:eastAsia="es-CL"/>
              </w:rPr>
              <w:br/>
            </w:r>
            <w:r w:rsidRPr="00EA0293">
              <w:rPr>
                <w:rFonts w:ascii="Calibri" w:hAnsi="Calibri" w:cs="Arial"/>
                <w:i/>
                <w:iCs/>
                <w:color w:val="548DD4"/>
                <w:sz w:val="20"/>
                <w:szCs w:val="20"/>
                <w:lang w:eastAsia="es-CL"/>
              </w:rPr>
              <w:br/>
              <w:t xml:space="preserve">El proyecto se alinea con los lineamientos técnicos transversales definidos por </w:t>
            </w:r>
            <w:proofErr w:type="spellStart"/>
            <w:r w:rsidRPr="00EA0293">
              <w:rPr>
                <w:rFonts w:ascii="Calibri" w:hAnsi="Calibri" w:cs="Arial"/>
                <w:i/>
                <w:iCs/>
                <w:color w:val="548DD4"/>
                <w:sz w:val="20"/>
                <w:szCs w:val="20"/>
                <w:lang w:eastAsia="es-CL"/>
              </w:rPr>
              <w:t>Alloxentric</w:t>
            </w:r>
            <w:proofErr w:type="spellEnd"/>
            <w:r w:rsidRPr="00EA0293">
              <w:rPr>
                <w:rFonts w:ascii="Calibri" w:hAnsi="Calibri" w:cs="Arial"/>
                <w:i/>
                <w:iCs/>
                <w:color w:val="548DD4"/>
                <w:sz w:val="20"/>
                <w:szCs w:val="20"/>
                <w:lang w:eastAsia="es-CL"/>
              </w:rPr>
              <w:t xml:space="preserve"> para sus soluciones, entre ellos el aislamiento de datos mediante </w:t>
            </w:r>
            <w:proofErr w:type="spellStart"/>
            <w:r w:rsidRPr="00EA0293">
              <w:rPr>
                <w:rFonts w:ascii="Calibri" w:hAnsi="Calibri" w:cs="Arial"/>
                <w:i/>
                <w:iCs/>
                <w:color w:val="548DD4"/>
                <w:sz w:val="20"/>
                <w:szCs w:val="20"/>
                <w:lang w:eastAsia="es-CL"/>
              </w:rPr>
              <w:t>multi-tenancy</w:t>
            </w:r>
            <w:proofErr w:type="spellEnd"/>
            <w:r w:rsidRPr="00EA0293">
              <w:rPr>
                <w:rFonts w:ascii="Calibri" w:hAnsi="Calibri" w:cs="Arial"/>
                <w:i/>
                <w:iCs/>
                <w:color w:val="548DD4"/>
                <w:sz w:val="20"/>
                <w:szCs w:val="20"/>
                <w:lang w:eastAsia="es-CL"/>
              </w:rPr>
              <w:t xml:space="preserve"> y </w:t>
            </w:r>
            <w:proofErr w:type="spellStart"/>
            <w:r w:rsidRPr="00EA0293">
              <w:rPr>
                <w:rFonts w:ascii="Calibri" w:hAnsi="Calibri" w:cs="Arial"/>
                <w:i/>
                <w:iCs/>
                <w:color w:val="548DD4"/>
                <w:sz w:val="20"/>
                <w:szCs w:val="20"/>
                <w:lang w:eastAsia="es-CL"/>
              </w:rPr>
              <w:t>client_id</w:t>
            </w:r>
            <w:proofErr w:type="spellEnd"/>
            <w:r w:rsidRPr="00EA0293">
              <w:rPr>
                <w:rFonts w:ascii="Calibri" w:hAnsi="Calibri" w:cs="Arial"/>
                <w:i/>
                <w:iCs/>
                <w:color w:val="548DD4"/>
                <w:sz w:val="20"/>
                <w:szCs w:val="20"/>
                <w:lang w:eastAsia="es-CL"/>
              </w:rPr>
              <w:t>, control de funcionalidades según perfil comercial, RBAC granular, internacionalización, arquitectura API-First y auditoría de logs. La incorporación de ISO 42001 deberá integrarse respetando estas características y procurando mantener el funcionamiento de la gestión de ISO 27001 existente.</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291A6208" w:rsidR="00D110EC" w:rsidRPr="00452B8B" w:rsidRDefault="00EA0293" w:rsidP="00DA5CB1">
            <w:pPr>
              <w:jc w:val="both"/>
              <w:rPr>
                <w:rFonts w:ascii="Calibri" w:hAnsi="Calibri" w:cs="Arial"/>
                <w:i/>
                <w:color w:val="548DD4"/>
                <w:sz w:val="20"/>
                <w:szCs w:val="20"/>
                <w:highlight w:val="cyan"/>
                <w:lang w:eastAsia="es-CL"/>
              </w:rPr>
            </w:pPr>
            <w:r w:rsidRPr="00EA0293">
              <w:rPr>
                <w:rFonts w:ascii="Calibri" w:hAnsi="Calibri" w:cs="Arial"/>
                <w:i/>
                <w:color w:val="548DD4"/>
                <w:sz w:val="20"/>
                <w:szCs w:val="20"/>
                <w:lang w:eastAsia="es-CL"/>
              </w:rPr>
              <w:t xml:space="preserve">Dani ISO 42001 consiste en adaptar y ampliar el software existente de </w:t>
            </w:r>
            <w:proofErr w:type="spellStart"/>
            <w:r w:rsidRPr="00EA0293">
              <w:rPr>
                <w:rFonts w:ascii="Calibri" w:hAnsi="Calibri" w:cs="Arial"/>
                <w:i/>
                <w:color w:val="548DD4"/>
                <w:sz w:val="20"/>
                <w:szCs w:val="20"/>
                <w:lang w:eastAsia="es-CL"/>
              </w:rPr>
              <w:t>Alloxentric</w:t>
            </w:r>
            <w:proofErr w:type="spellEnd"/>
            <w:r w:rsidRPr="00EA0293">
              <w:rPr>
                <w:rFonts w:ascii="Calibri" w:hAnsi="Calibri" w:cs="Arial"/>
                <w:i/>
                <w:color w:val="548DD4"/>
                <w:sz w:val="20"/>
                <w:szCs w:val="20"/>
                <w:lang w:eastAsia="es-CL"/>
              </w:rPr>
              <w:t xml:space="preserve"> que actualmente permite gestionar la implementación de ISO 27001, de manera que la misma plataforma permita incorporar y gestionar también ISO 42001.</w:t>
            </w:r>
            <w:r w:rsidRPr="00EA0293">
              <w:rPr>
                <w:rFonts w:ascii="Calibri" w:hAnsi="Calibri" w:cs="Arial"/>
                <w:i/>
                <w:color w:val="548DD4"/>
                <w:sz w:val="20"/>
                <w:szCs w:val="20"/>
                <w:lang w:eastAsia="es-CL"/>
              </w:rPr>
              <w:br/>
            </w:r>
            <w:r w:rsidRPr="00EA0293">
              <w:rPr>
                <w:rFonts w:ascii="Calibri" w:hAnsi="Calibri" w:cs="Arial"/>
                <w:i/>
                <w:color w:val="548DD4"/>
                <w:sz w:val="20"/>
                <w:szCs w:val="20"/>
                <w:lang w:eastAsia="es-CL"/>
              </w:rPr>
              <w:br/>
              <w:t xml:space="preserve">El trabajo considera analizar la solución actual, identificar los componentes reutilizables, levantar los requerimientos necesarios para ISO 42001, diseñar e implementar las funcionalidades requeridas e integrarlas con la plataforma existente. El desarrollo deberá mantener los estándares técnicos definidos por </w:t>
            </w:r>
            <w:proofErr w:type="spellStart"/>
            <w:r w:rsidRPr="00EA0293">
              <w:rPr>
                <w:rFonts w:ascii="Calibri" w:hAnsi="Calibri" w:cs="Arial"/>
                <w:i/>
                <w:color w:val="548DD4"/>
                <w:sz w:val="20"/>
                <w:szCs w:val="20"/>
                <w:lang w:eastAsia="es-CL"/>
              </w:rPr>
              <w:t>Alloxentric</w:t>
            </w:r>
            <w:proofErr w:type="spellEnd"/>
            <w:r w:rsidRPr="00EA0293">
              <w:rPr>
                <w:rFonts w:ascii="Calibri" w:hAnsi="Calibri" w:cs="Arial"/>
                <w:i/>
                <w:color w:val="548DD4"/>
                <w:sz w:val="20"/>
                <w:szCs w:val="20"/>
                <w:lang w:eastAsia="es-CL"/>
              </w:rPr>
              <w:t xml:space="preserve">, considerando según corresponda </w:t>
            </w:r>
            <w:proofErr w:type="spellStart"/>
            <w:r w:rsidRPr="00EA0293">
              <w:rPr>
                <w:rFonts w:ascii="Calibri" w:hAnsi="Calibri" w:cs="Arial"/>
                <w:i/>
                <w:color w:val="548DD4"/>
                <w:sz w:val="20"/>
                <w:szCs w:val="20"/>
                <w:lang w:eastAsia="es-CL"/>
              </w:rPr>
              <w:t>multi-tenancy</w:t>
            </w:r>
            <w:proofErr w:type="spellEnd"/>
            <w:r w:rsidRPr="00EA0293">
              <w:rPr>
                <w:rFonts w:ascii="Calibri" w:hAnsi="Calibri" w:cs="Arial"/>
                <w:i/>
                <w:color w:val="548DD4"/>
                <w:sz w:val="20"/>
                <w:szCs w:val="20"/>
                <w:lang w:eastAsia="es-CL"/>
              </w:rPr>
              <w:t xml:space="preserve">, </w:t>
            </w:r>
            <w:proofErr w:type="spellStart"/>
            <w:r w:rsidRPr="00EA0293">
              <w:rPr>
                <w:rFonts w:ascii="Calibri" w:hAnsi="Calibri" w:cs="Arial"/>
                <w:i/>
                <w:color w:val="548DD4"/>
                <w:sz w:val="20"/>
                <w:szCs w:val="20"/>
                <w:lang w:eastAsia="es-CL"/>
              </w:rPr>
              <w:t>Feature</w:t>
            </w:r>
            <w:proofErr w:type="spellEnd"/>
            <w:r w:rsidRPr="00EA0293">
              <w:rPr>
                <w:rFonts w:ascii="Calibri" w:hAnsi="Calibri" w:cs="Arial"/>
                <w:i/>
                <w:color w:val="548DD4"/>
                <w:sz w:val="20"/>
                <w:szCs w:val="20"/>
                <w:lang w:eastAsia="es-CL"/>
              </w:rPr>
              <w:t xml:space="preserve"> </w:t>
            </w:r>
            <w:proofErr w:type="spellStart"/>
            <w:r w:rsidRPr="00EA0293">
              <w:rPr>
                <w:rFonts w:ascii="Calibri" w:hAnsi="Calibri" w:cs="Arial"/>
                <w:i/>
                <w:color w:val="548DD4"/>
                <w:sz w:val="20"/>
                <w:szCs w:val="20"/>
                <w:lang w:eastAsia="es-CL"/>
              </w:rPr>
              <w:t>Gating</w:t>
            </w:r>
            <w:proofErr w:type="spellEnd"/>
            <w:r w:rsidRPr="00EA0293">
              <w:rPr>
                <w:rFonts w:ascii="Calibri" w:hAnsi="Calibri" w:cs="Arial"/>
                <w:i/>
                <w:color w:val="548DD4"/>
                <w:sz w:val="20"/>
                <w:szCs w:val="20"/>
                <w:lang w:eastAsia="es-CL"/>
              </w:rPr>
              <w:t>, RBAC y JWT, internacionalización, temas visuales, arquitectura API-First y trazabilidad mediante logs.</w:t>
            </w:r>
            <w:r w:rsidRPr="00EA0293">
              <w:rPr>
                <w:rFonts w:ascii="Calibri" w:hAnsi="Calibri" w:cs="Arial"/>
                <w:i/>
                <w:color w:val="548DD4"/>
                <w:sz w:val="20"/>
                <w:szCs w:val="20"/>
                <w:lang w:eastAsia="es-CL"/>
              </w:rPr>
              <w:br/>
            </w:r>
            <w:r w:rsidRPr="00EA0293">
              <w:rPr>
                <w:rFonts w:ascii="Calibri" w:hAnsi="Calibri" w:cs="Arial"/>
                <w:i/>
                <w:color w:val="548DD4"/>
                <w:sz w:val="20"/>
                <w:szCs w:val="20"/>
                <w:lang w:eastAsia="es-CL"/>
              </w:rPr>
              <w:br/>
              <w:t>El resultado esperado es que la plataforma existente amplíe sus capacidades y permita trabajar tanto con ISO 27001 como con ISO 42001, sin construir un sistema separado desde cero.</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590DDC8D" w:rsidR="00D110EC" w:rsidRPr="008942F5" w:rsidRDefault="00EA0293" w:rsidP="00C27FB0">
            <w:pPr>
              <w:jc w:val="both"/>
              <w:rPr>
                <w:rFonts w:ascii="Calibri" w:hAnsi="Calibri" w:cs="Arial"/>
                <w:i/>
                <w:color w:val="548DD4"/>
                <w:sz w:val="20"/>
                <w:szCs w:val="20"/>
                <w:highlight w:val="yellow"/>
                <w:lang w:eastAsia="es-CL"/>
              </w:rPr>
            </w:pPr>
            <w:r w:rsidRPr="00EA0293">
              <w:rPr>
                <w:rFonts w:ascii="Calibri" w:hAnsi="Calibri" w:cs="Arial"/>
                <w:i/>
                <w:color w:val="548DD4"/>
                <w:sz w:val="20"/>
                <w:szCs w:val="20"/>
                <w:lang w:eastAsia="es-CL"/>
              </w:rPr>
              <w:t>El proyecto se relaciona directamente con el perfil de egreso de Ingeniería en Informática, ya que requiere analizar requerimientos, comprender una arquitectura de software existente, desarrollar e integrar nuevas funcionalidades, gestionar datos, aplicar criterios de calidad y seguridad, realizar pruebas y organizar el trabajo mediante una metodología de gestión de proyectos.</w:t>
            </w:r>
            <w:r w:rsidRPr="00EA0293">
              <w:rPr>
                <w:rFonts w:ascii="Calibri" w:hAnsi="Calibri" w:cs="Arial"/>
                <w:i/>
                <w:color w:val="548DD4"/>
                <w:sz w:val="20"/>
                <w:szCs w:val="20"/>
                <w:lang w:eastAsia="es-CL"/>
              </w:rPr>
              <w:br/>
            </w:r>
            <w:r w:rsidRPr="00EA0293">
              <w:rPr>
                <w:rFonts w:ascii="Calibri" w:hAnsi="Calibri" w:cs="Arial"/>
                <w:i/>
                <w:color w:val="548DD4"/>
                <w:sz w:val="20"/>
                <w:szCs w:val="20"/>
                <w:lang w:eastAsia="es-CL"/>
              </w:rPr>
              <w:br/>
              <w:t>Además, el proyecto exige trabajar sobre una solución real, comprender código previamente desarrollado y adaptar la plataforma a un nuevo requerimiento, lo que permite aplicar de manera integrada competencias de análisis, programación, arquitectura, calidad y gestión.</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4665DAC" w14:textId="7D9243ED" w:rsidR="00D110EC" w:rsidRPr="005142B6" w:rsidRDefault="00EA0293" w:rsidP="009D04DC">
            <w:pPr>
              <w:jc w:val="both"/>
              <w:rPr>
                <w:rFonts w:ascii="Calibri" w:hAnsi="Calibri" w:cs="Arial"/>
                <w:i/>
                <w:color w:val="548DD4"/>
                <w:sz w:val="20"/>
                <w:szCs w:val="20"/>
                <w:highlight w:val="yellow"/>
                <w:lang w:eastAsia="es-CL"/>
              </w:rPr>
            </w:pPr>
            <w:r w:rsidRPr="00EA0293">
              <w:rPr>
                <w:rFonts w:ascii="Calibri" w:hAnsi="Calibri" w:cs="Arial"/>
                <w:i/>
                <w:color w:val="548DD4"/>
                <w:sz w:val="20"/>
                <w:szCs w:val="20"/>
                <w:lang w:eastAsia="es-CL"/>
              </w:rPr>
              <w:t xml:space="preserve">El proyecto se relaciona con mis intereses profesionales principalmente por su vínculo con la ciberseguridad, la gestión de riesgos, el cumplimiento y la implementación de controles dentro de soluciones tecnológicas. Mi experiencia e interés se orientan a actividades de seguridad, gestión de vulnerabilidades, revisión de controles y cumplimiento, por lo que trabajar con ISO 42001 me permite complementar esa </w:t>
            </w:r>
            <w:r w:rsidRPr="00EA0293">
              <w:rPr>
                <w:rFonts w:ascii="Calibri" w:hAnsi="Calibri" w:cs="Arial"/>
                <w:i/>
                <w:color w:val="548DD4"/>
                <w:sz w:val="20"/>
                <w:szCs w:val="20"/>
                <w:lang w:eastAsia="es-CL"/>
              </w:rPr>
              <w:lastRenderedPageBreak/>
              <w:t>experiencia con el desarrollo e integración de funcionalidades en una plataforma real.</w:t>
            </w:r>
            <w:r w:rsidRPr="00EA0293">
              <w:rPr>
                <w:rFonts w:ascii="Calibri" w:hAnsi="Calibri" w:cs="Arial"/>
                <w:i/>
                <w:color w:val="548DD4"/>
                <w:sz w:val="20"/>
                <w:szCs w:val="20"/>
                <w:lang w:eastAsia="es-CL"/>
              </w:rPr>
              <w:br/>
            </w:r>
            <w:r w:rsidRPr="00EA0293">
              <w:rPr>
                <w:rFonts w:ascii="Calibri" w:hAnsi="Calibri" w:cs="Arial"/>
                <w:i/>
                <w:color w:val="548DD4"/>
                <w:sz w:val="20"/>
                <w:szCs w:val="20"/>
                <w:lang w:eastAsia="es-CL"/>
              </w:rPr>
              <w:br/>
              <w:t>También representa una oportunidad para fortalecer competencias que deseo seguir desarrollando, especialmente programación, arquitectura de software e inglés técnico, considerando que gran parte de la documentación y los estándares utilizados en informática y ciberseguridad se encuentran en este idioma.</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25C2897A" w14:textId="16E1D0DD" w:rsidR="00D110EC" w:rsidRPr="00F33127" w:rsidRDefault="00F33127" w:rsidP="00F33127">
            <w:pPr>
              <w:rPr>
                <w:rFonts w:ascii="Calibri" w:hAnsi="Calibri" w:cs="Arial"/>
                <w:i/>
                <w:color w:val="548DD4"/>
                <w:sz w:val="20"/>
                <w:szCs w:val="20"/>
                <w:lang w:eastAsia="es-CL"/>
              </w:rPr>
            </w:pPr>
            <w:r w:rsidRPr="00F33127">
              <w:rPr>
                <w:rFonts w:ascii="Calibri" w:hAnsi="Calibri" w:cs="Arial"/>
                <w:i/>
                <w:color w:val="548DD4"/>
                <w:sz w:val="20"/>
                <w:szCs w:val="20"/>
                <w:lang w:eastAsia="es-CL"/>
              </w:rPr>
              <w:t xml:space="preserve">El proyecto es factible porque no parte desde cero. </w:t>
            </w:r>
            <w:proofErr w:type="spellStart"/>
            <w:r w:rsidRPr="00F33127">
              <w:rPr>
                <w:rFonts w:ascii="Calibri" w:hAnsi="Calibri" w:cs="Arial"/>
                <w:i/>
                <w:color w:val="548DD4"/>
                <w:sz w:val="20"/>
                <w:szCs w:val="20"/>
                <w:lang w:eastAsia="es-CL"/>
              </w:rPr>
              <w:t>Alloxentric</w:t>
            </w:r>
            <w:proofErr w:type="spellEnd"/>
            <w:r w:rsidRPr="00F33127">
              <w:rPr>
                <w:rFonts w:ascii="Calibri" w:hAnsi="Calibri" w:cs="Arial"/>
                <w:i/>
                <w:color w:val="548DD4"/>
                <w:sz w:val="20"/>
                <w:szCs w:val="20"/>
                <w:lang w:eastAsia="es-CL"/>
              </w:rPr>
              <w:t xml:space="preserve"> dispone de un software existente que ya contempla la gestión de ISO 27001 y ha proporcionado acceso al repositorio de la solución para trabajar sobre esa base. Esto permite analizar y reutilizar componentes existentes y concentrar el desarrollo en la incorporación de ISO 42001.</w:t>
            </w:r>
            <w:r w:rsidRPr="00F33127">
              <w:rPr>
                <w:rFonts w:ascii="Calibri" w:hAnsi="Calibri" w:cs="Arial"/>
                <w:i/>
                <w:color w:val="548DD4"/>
                <w:sz w:val="20"/>
                <w:szCs w:val="20"/>
                <w:lang w:eastAsia="es-CL"/>
              </w:rPr>
              <w:br/>
            </w:r>
            <w:r w:rsidRPr="00F33127">
              <w:rPr>
                <w:rFonts w:ascii="Calibri" w:hAnsi="Calibri" w:cs="Arial"/>
                <w:i/>
                <w:color w:val="548DD4"/>
                <w:sz w:val="20"/>
                <w:szCs w:val="20"/>
                <w:lang w:eastAsia="es-CL"/>
              </w:rPr>
              <w:br/>
              <w:t xml:space="preserve">Además, </w:t>
            </w:r>
            <w:proofErr w:type="spellStart"/>
            <w:r w:rsidRPr="00F33127">
              <w:rPr>
                <w:rFonts w:ascii="Calibri" w:hAnsi="Calibri" w:cs="Arial"/>
                <w:i/>
                <w:color w:val="548DD4"/>
                <w:sz w:val="20"/>
                <w:szCs w:val="20"/>
                <w:lang w:eastAsia="es-CL"/>
              </w:rPr>
              <w:t>Alloxentric</w:t>
            </w:r>
            <w:proofErr w:type="spellEnd"/>
            <w:r w:rsidRPr="00F33127">
              <w:rPr>
                <w:rFonts w:ascii="Calibri" w:hAnsi="Calibri" w:cs="Arial"/>
                <w:i/>
                <w:color w:val="548DD4"/>
                <w:sz w:val="20"/>
                <w:szCs w:val="20"/>
                <w:lang w:eastAsia="es-CL"/>
              </w:rPr>
              <w:t xml:space="preserve"> ha definido estándares técnicos transversales que orientan el desarrollo de sus soluciones, incluyendo </w:t>
            </w:r>
            <w:proofErr w:type="spellStart"/>
            <w:r w:rsidRPr="00F33127">
              <w:rPr>
                <w:rFonts w:ascii="Calibri" w:hAnsi="Calibri" w:cs="Arial"/>
                <w:i/>
                <w:color w:val="548DD4"/>
                <w:sz w:val="20"/>
                <w:szCs w:val="20"/>
                <w:lang w:eastAsia="es-CL"/>
              </w:rPr>
              <w:t>multi-tenancy</w:t>
            </w:r>
            <w:proofErr w:type="spellEnd"/>
            <w:r w:rsidRPr="00F33127">
              <w:rPr>
                <w:rFonts w:ascii="Calibri" w:hAnsi="Calibri" w:cs="Arial"/>
                <w:i/>
                <w:color w:val="548DD4"/>
                <w:sz w:val="20"/>
                <w:szCs w:val="20"/>
                <w:lang w:eastAsia="es-CL"/>
              </w:rPr>
              <w:t>, control de acceso, RBAC, JWT, internacionalización, API-First y auditoría de logs. El trabajo se organizará mediante Scrum y revisiones semanales, permitiendo validar progresivamente los requerimientos y los avances.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1A73024B" w:rsidR="00D110EC" w:rsidRPr="00711C16" w:rsidRDefault="00F33127" w:rsidP="009D04DC">
            <w:pPr>
              <w:jc w:val="both"/>
              <w:rPr>
                <w:rFonts w:ascii="Calibri" w:hAnsi="Calibri" w:cs="Arial"/>
                <w:i/>
                <w:color w:val="548DD4"/>
                <w:sz w:val="20"/>
                <w:szCs w:val="20"/>
                <w:lang w:eastAsia="es-CL"/>
              </w:rPr>
            </w:pPr>
            <w:r w:rsidRPr="00F33127">
              <w:rPr>
                <w:rFonts w:ascii="Calibri" w:hAnsi="Calibri" w:cs="Arial"/>
                <w:i/>
                <w:color w:val="548DD4"/>
                <w:sz w:val="20"/>
                <w:szCs w:val="20"/>
                <w:lang w:eastAsia="es-CL"/>
              </w:rPr>
              <w:t xml:space="preserve">Implementar en el software existente de </w:t>
            </w:r>
            <w:proofErr w:type="spellStart"/>
            <w:r w:rsidRPr="00F33127">
              <w:rPr>
                <w:rFonts w:ascii="Calibri" w:hAnsi="Calibri" w:cs="Arial"/>
                <w:i/>
                <w:color w:val="548DD4"/>
                <w:sz w:val="20"/>
                <w:szCs w:val="20"/>
                <w:lang w:eastAsia="es-CL"/>
              </w:rPr>
              <w:t>Alloxentric</w:t>
            </w:r>
            <w:proofErr w:type="spellEnd"/>
            <w:r w:rsidRPr="00F33127">
              <w:rPr>
                <w:rFonts w:ascii="Calibri" w:hAnsi="Calibri" w:cs="Arial"/>
                <w:i/>
                <w:color w:val="548DD4"/>
                <w:sz w:val="20"/>
                <w:szCs w:val="20"/>
                <w:lang w:eastAsia="es-CL"/>
              </w:rPr>
              <w:t xml:space="preserve"> las funcionalidades necesarias para incorporar la gestión de ISO 42001, reutilizando y adaptando la solución actualmente utilizada para ISO 27001 y manteniendo los estándares técnicos definidos por la empresa.</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DE4F8FE" w14:textId="1AA834AF" w:rsidR="00D110EC" w:rsidRPr="00C502A9" w:rsidRDefault="00F33127" w:rsidP="009B74E2">
            <w:pPr>
              <w:jc w:val="both"/>
              <w:rPr>
                <w:rFonts w:ascii="Calibri" w:hAnsi="Calibri" w:cs="Arial"/>
                <w:i/>
                <w:color w:val="548DD4"/>
                <w:sz w:val="20"/>
                <w:szCs w:val="20"/>
                <w:lang w:eastAsia="es-CL"/>
              </w:rPr>
            </w:pPr>
            <w:r w:rsidRPr="00F33127">
              <w:rPr>
                <w:rFonts w:ascii="Calibri" w:hAnsi="Calibri" w:cs="Arial"/>
                <w:i/>
                <w:color w:val="548DD4"/>
                <w:sz w:val="20"/>
                <w:szCs w:val="20"/>
                <w:lang w:eastAsia="es-CL"/>
              </w:rPr>
              <w:t xml:space="preserve">1. Analizar la estructura y el funcionamiento actual del software de </w:t>
            </w:r>
            <w:proofErr w:type="spellStart"/>
            <w:r w:rsidRPr="00F33127">
              <w:rPr>
                <w:rFonts w:ascii="Calibri" w:hAnsi="Calibri" w:cs="Arial"/>
                <w:i/>
                <w:color w:val="548DD4"/>
                <w:sz w:val="20"/>
                <w:szCs w:val="20"/>
                <w:lang w:eastAsia="es-CL"/>
              </w:rPr>
              <w:t>Alloxentric</w:t>
            </w:r>
            <w:proofErr w:type="spellEnd"/>
            <w:r w:rsidRPr="00F33127">
              <w:rPr>
                <w:rFonts w:ascii="Calibri" w:hAnsi="Calibri" w:cs="Arial"/>
                <w:i/>
                <w:color w:val="548DD4"/>
                <w:sz w:val="20"/>
                <w:szCs w:val="20"/>
                <w:lang w:eastAsia="es-CL"/>
              </w:rPr>
              <w:t xml:space="preserve"> utilizado para la gestión de ISO 27001, identificando los componentes que puedan ser reutilizados o adaptados para ISO 42001.</w:t>
            </w:r>
            <w:r w:rsidRPr="00F33127">
              <w:rPr>
                <w:rFonts w:ascii="Calibri" w:hAnsi="Calibri" w:cs="Arial"/>
                <w:i/>
                <w:color w:val="548DD4"/>
                <w:sz w:val="20"/>
                <w:szCs w:val="20"/>
                <w:lang w:eastAsia="es-CL"/>
              </w:rPr>
              <w:br/>
              <w:t>2. Identificar y definir los requerimientos necesarios para incorporar la gestión de ISO 42001 dentro de la plataforma existente.</w:t>
            </w:r>
            <w:r w:rsidRPr="00F33127">
              <w:rPr>
                <w:rFonts w:ascii="Calibri" w:hAnsi="Calibri" w:cs="Arial"/>
                <w:i/>
                <w:color w:val="548DD4"/>
                <w:sz w:val="20"/>
                <w:szCs w:val="20"/>
                <w:lang w:eastAsia="es-CL"/>
              </w:rPr>
              <w:br/>
              <w:t xml:space="preserve">3. Diseñar y desarrollar las funcionalidades necesarias para integrar ISO 42001, manteniendo la arquitectura y los estándares técnicos establecidos por </w:t>
            </w:r>
            <w:proofErr w:type="spellStart"/>
            <w:r w:rsidRPr="00F33127">
              <w:rPr>
                <w:rFonts w:ascii="Calibri" w:hAnsi="Calibri" w:cs="Arial"/>
                <w:i/>
                <w:color w:val="548DD4"/>
                <w:sz w:val="20"/>
                <w:szCs w:val="20"/>
                <w:lang w:eastAsia="es-CL"/>
              </w:rPr>
              <w:t>Alloxentric</w:t>
            </w:r>
            <w:proofErr w:type="spellEnd"/>
            <w:r w:rsidRPr="00F33127">
              <w:rPr>
                <w:rFonts w:ascii="Calibri" w:hAnsi="Calibri" w:cs="Arial"/>
                <w:i/>
                <w:color w:val="548DD4"/>
                <w:sz w:val="20"/>
                <w:szCs w:val="20"/>
                <w:lang w:eastAsia="es-CL"/>
              </w:rPr>
              <w:t>.</w:t>
            </w:r>
            <w:r w:rsidRPr="00F33127">
              <w:rPr>
                <w:rFonts w:ascii="Calibri" w:hAnsi="Calibri" w:cs="Arial"/>
                <w:i/>
                <w:color w:val="548DD4"/>
                <w:sz w:val="20"/>
                <w:szCs w:val="20"/>
                <w:lang w:eastAsia="es-CL"/>
              </w:rPr>
              <w:br/>
              <w:t>4. Integrar las nuevas funcionalidades con los componentes existentes de la plataforma, procurando mantener la operación asociada a ISO 27001.</w:t>
            </w:r>
            <w:r w:rsidRPr="00F33127">
              <w:rPr>
                <w:rFonts w:ascii="Calibri" w:hAnsi="Calibri" w:cs="Arial"/>
                <w:i/>
                <w:color w:val="548DD4"/>
                <w:sz w:val="20"/>
                <w:szCs w:val="20"/>
                <w:lang w:eastAsia="es-CL"/>
              </w:rPr>
              <w:br/>
              <w:t>5. Realizar pruebas y validaciones sobre las funcionalidades desarrolladas para verificar su integración y funcionamiento de acuerdo con los requerimientos definidos.</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44C1301F" w14:textId="004346CE" w:rsidR="00D110EC" w:rsidRPr="00A337B2" w:rsidRDefault="007A2B07" w:rsidP="00C27FB0">
            <w:pPr>
              <w:jc w:val="both"/>
              <w:rPr>
                <w:rFonts w:ascii="Calibri" w:hAnsi="Calibri" w:cs="Arial"/>
                <w:i/>
                <w:color w:val="FF0000"/>
                <w:sz w:val="18"/>
                <w:szCs w:val="20"/>
                <w:lang w:eastAsia="es-CL"/>
              </w:rPr>
            </w:pPr>
            <w:r w:rsidRPr="007A2B07">
              <w:rPr>
                <w:rFonts w:ascii="Calibri" w:hAnsi="Calibri" w:cs="Arial"/>
                <w:i/>
                <w:color w:val="548DD4"/>
                <w:sz w:val="20"/>
                <w:szCs w:val="20"/>
                <w:lang w:eastAsia="es-CL"/>
              </w:rPr>
              <w:t xml:space="preserve">El proyecto Dani ISO 42001 se desarrollará utilizando la metodología ágil Scrum, organizando el trabajo de manera incremental durante el periodo académico. Se trabajará sobre el software existente de </w:t>
            </w:r>
            <w:proofErr w:type="spellStart"/>
            <w:r w:rsidRPr="007A2B07">
              <w:rPr>
                <w:rFonts w:ascii="Calibri" w:hAnsi="Calibri" w:cs="Arial"/>
                <w:i/>
                <w:color w:val="548DD4"/>
                <w:sz w:val="20"/>
                <w:szCs w:val="20"/>
                <w:lang w:eastAsia="es-CL"/>
              </w:rPr>
              <w:t>Alloxentric</w:t>
            </w:r>
            <w:proofErr w:type="spellEnd"/>
            <w:r w:rsidRPr="007A2B07">
              <w:rPr>
                <w:rFonts w:ascii="Calibri" w:hAnsi="Calibri" w:cs="Arial"/>
                <w:i/>
                <w:color w:val="548DD4"/>
                <w:sz w:val="20"/>
                <w:szCs w:val="20"/>
                <w:lang w:eastAsia="es-CL"/>
              </w:rPr>
              <w:t xml:space="preserve"> que actualmente contempla ISO 27001, incorporando progresivamente las funcionalidades necesarias para ISO 42001.</w:t>
            </w:r>
            <w:r w:rsidRPr="007A2B07">
              <w:rPr>
                <w:rFonts w:ascii="Calibri" w:hAnsi="Calibri" w:cs="Arial"/>
                <w:i/>
                <w:color w:val="548DD4"/>
                <w:sz w:val="20"/>
                <w:szCs w:val="20"/>
                <w:lang w:eastAsia="es-CL"/>
              </w:rPr>
              <w:br/>
            </w:r>
            <w:r w:rsidRPr="007A2B07">
              <w:rPr>
                <w:rFonts w:ascii="Calibri" w:hAnsi="Calibri" w:cs="Arial"/>
                <w:i/>
                <w:color w:val="548DD4"/>
                <w:sz w:val="20"/>
                <w:szCs w:val="20"/>
                <w:lang w:eastAsia="es-CL"/>
              </w:rPr>
              <w:br/>
              <w:t>En una primera etapa se realizará el análisis de la plataforma actual y el levantamiento de requerimientos. Posteriormente se priorizarán las tareas en un backlog, se diseñarán y desarrollarán las funcionalidades definidas y se realizarán integraciones y pruebas sobre la solución existente.</w:t>
            </w:r>
            <w:r w:rsidRPr="007A2B07">
              <w:rPr>
                <w:rFonts w:ascii="Calibri" w:hAnsi="Calibri" w:cs="Arial"/>
                <w:i/>
                <w:color w:val="548DD4"/>
                <w:sz w:val="20"/>
                <w:szCs w:val="20"/>
                <w:lang w:eastAsia="es-CL"/>
              </w:rPr>
              <w:br/>
            </w:r>
            <w:r w:rsidRPr="007A2B07">
              <w:rPr>
                <w:rFonts w:ascii="Calibri" w:hAnsi="Calibri" w:cs="Arial"/>
                <w:i/>
                <w:color w:val="548DD4"/>
                <w:sz w:val="20"/>
                <w:szCs w:val="20"/>
                <w:lang w:eastAsia="es-CL"/>
              </w:rPr>
              <w:br/>
              <w:t xml:space="preserve">Se efectuarán revisiones semanales para presentar avances, resolver dudas, validar requerimientos y ajustar las actividades del siguiente periodo. Durante el desarrollo se considerarán los estándares transversales definidos por </w:t>
            </w:r>
            <w:proofErr w:type="spellStart"/>
            <w:r w:rsidRPr="007A2B07">
              <w:rPr>
                <w:rFonts w:ascii="Calibri" w:hAnsi="Calibri" w:cs="Arial"/>
                <w:i/>
                <w:color w:val="548DD4"/>
                <w:sz w:val="20"/>
                <w:szCs w:val="20"/>
                <w:lang w:eastAsia="es-CL"/>
              </w:rPr>
              <w:t>Alloxentric</w:t>
            </w:r>
            <w:proofErr w:type="spellEnd"/>
            <w:r w:rsidRPr="007A2B07">
              <w:rPr>
                <w:rFonts w:ascii="Calibri" w:hAnsi="Calibri" w:cs="Arial"/>
                <w:i/>
                <w:color w:val="548DD4"/>
                <w:sz w:val="20"/>
                <w:szCs w:val="20"/>
                <w:lang w:eastAsia="es-CL"/>
              </w:rPr>
              <w:t xml:space="preserve"> que resulten aplicables: arquitectura </w:t>
            </w:r>
            <w:proofErr w:type="spellStart"/>
            <w:r w:rsidRPr="007A2B07">
              <w:rPr>
                <w:rFonts w:ascii="Calibri" w:hAnsi="Calibri" w:cs="Arial"/>
                <w:i/>
                <w:color w:val="548DD4"/>
                <w:sz w:val="20"/>
                <w:szCs w:val="20"/>
                <w:lang w:eastAsia="es-CL"/>
              </w:rPr>
              <w:t>multi-tenant</w:t>
            </w:r>
            <w:proofErr w:type="spellEnd"/>
            <w:r w:rsidRPr="007A2B07">
              <w:rPr>
                <w:rFonts w:ascii="Calibri" w:hAnsi="Calibri" w:cs="Arial"/>
                <w:i/>
                <w:color w:val="548DD4"/>
                <w:sz w:val="20"/>
                <w:szCs w:val="20"/>
                <w:lang w:eastAsia="es-CL"/>
              </w:rPr>
              <w:t xml:space="preserve"> y aislamiento mediante </w:t>
            </w:r>
            <w:proofErr w:type="spellStart"/>
            <w:r w:rsidRPr="007A2B07">
              <w:rPr>
                <w:rFonts w:ascii="Calibri" w:hAnsi="Calibri" w:cs="Arial"/>
                <w:i/>
                <w:color w:val="548DD4"/>
                <w:sz w:val="20"/>
                <w:szCs w:val="20"/>
                <w:lang w:eastAsia="es-CL"/>
              </w:rPr>
              <w:t>client_id</w:t>
            </w:r>
            <w:proofErr w:type="spellEnd"/>
            <w:r w:rsidRPr="007A2B07">
              <w:rPr>
                <w:rFonts w:ascii="Calibri" w:hAnsi="Calibri" w:cs="Arial"/>
                <w:i/>
                <w:color w:val="548DD4"/>
                <w:sz w:val="20"/>
                <w:szCs w:val="20"/>
                <w:lang w:eastAsia="es-CL"/>
              </w:rPr>
              <w:t xml:space="preserve">, </w:t>
            </w:r>
            <w:proofErr w:type="spellStart"/>
            <w:r w:rsidRPr="007A2B07">
              <w:rPr>
                <w:rFonts w:ascii="Calibri" w:hAnsi="Calibri" w:cs="Arial"/>
                <w:i/>
                <w:color w:val="548DD4"/>
                <w:sz w:val="20"/>
                <w:szCs w:val="20"/>
                <w:lang w:eastAsia="es-CL"/>
              </w:rPr>
              <w:t>Feature</w:t>
            </w:r>
            <w:proofErr w:type="spellEnd"/>
            <w:r w:rsidRPr="007A2B07">
              <w:rPr>
                <w:rFonts w:ascii="Calibri" w:hAnsi="Calibri" w:cs="Arial"/>
                <w:i/>
                <w:color w:val="548DD4"/>
                <w:sz w:val="20"/>
                <w:szCs w:val="20"/>
                <w:lang w:eastAsia="es-CL"/>
              </w:rPr>
              <w:t xml:space="preserve"> </w:t>
            </w:r>
            <w:proofErr w:type="spellStart"/>
            <w:r w:rsidRPr="007A2B07">
              <w:rPr>
                <w:rFonts w:ascii="Calibri" w:hAnsi="Calibri" w:cs="Arial"/>
                <w:i/>
                <w:color w:val="548DD4"/>
                <w:sz w:val="20"/>
                <w:szCs w:val="20"/>
                <w:lang w:eastAsia="es-CL"/>
              </w:rPr>
              <w:t>Gating</w:t>
            </w:r>
            <w:proofErr w:type="spellEnd"/>
            <w:r w:rsidRPr="007A2B07">
              <w:rPr>
                <w:rFonts w:ascii="Calibri" w:hAnsi="Calibri" w:cs="Arial"/>
                <w:i/>
                <w:color w:val="548DD4"/>
                <w:sz w:val="20"/>
                <w:szCs w:val="20"/>
                <w:lang w:eastAsia="es-CL"/>
              </w:rPr>
              <w:t>, RBAC y JWT, internacionalización, arquitectura API-First y auditoría de logs con trazabilidad.</w:t>
            </w:r>
            <w:r w:rsidRPr="007A2B07">
              <w:rPr>
                <w:rFonts w:ascii="Calibri" w:hAnsi="Calibri" w:cs="Arial"/>
                <w:i/>
                <w:color w:val="548DD4"/>
                <w:sz w:val="20"/>
                <w:szCs w:val="20"/>
                <w:lang w:eastAsia="es-CL"/>
              </w:rPr>
              <w:br/>
            </w:r>
            <w:r w:rsidRPr="007A2B07">
              <w:rPr>
                <w:rFonts w:ascii="Calibri" w:hAnsi="Calibri" w:cs="Arial"/>
                <w:i/>
                <w:color w:val="548DD4"/>
                <w:sz w:val="20"/>
                <w:szCs w:val="20"/>
                <w:lang w:eastAsia="es-CL"/>
              </w:rPr>
              <w:br/>
              <w:t>El cierre incluirá la integración de las funcionalidades desarrolladas, pruebas de funcionamiento y recopilación de evidencias técnicas y funcionales.</w:t>
            </w:r>
          </w:p>
        </w:tc>
      </w:tr>
    </w:tbl>
    <w:p w14:paraId="5B32D199" w14:textId="77777777" w:rsidR="00416B89" w:rsidRDefault="00416B89" w:rsidP="00D110EC">
      <w:pPr>
        <w:spacing w:after="0" w:line="360" w:lineRule="auto"/>
        <w:jc w:val="both"/>
        <w:rPr>
          <w:b/>
          <w:sz w:val="24"/>
          <w:szCs w:val="24"/>
        </w:rPr>
      </w:pPr>
    </w:p>
    <w:p w14:paraId="0947AA19" w14:textId="41A6B137" w:rsidR="009D04DC" w:rsidRDefault="009D04DC">
      <w:pPr>
        <w:spacing w:after="0" w:line="240" w:lineRule="auto"/>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7A2B07" w:rsidRPr="00CA29F2" w14:paraId="64910DAE" w14:textId="77777777" w:rsidTr="00211D6E">
        <w:trPr>
          <w:trHeight w:val="362"/>
        </w:trPr>
        <w:tc>
          <w:tcPr>
            <w:tcW w:w="1843" w:type="dxa"/>
            <w:vAlign w:val="center"/>
          </w:tcPr>
          <w:p w14:paraId="3D22BC14" w14:textId="4C80760A" w:rsidR="007A2B07" w:rsidRPr="007A2B07" w:rsidRDefault="007A2B07" w:rsidP="007A2B07">
            <w:pPr>
              <w:jc w:val="both"/>
              <w:rPr>
                <w:rFonts w:ascii="Calibri" w:hAnsi="Calibri" w:cs="Arial"/>
                <w:i/>
                <w:color w:val="548DD4"/>
                <w:sz w:val="20"/>
                <w:szCs w:val="20"/>
                <w:lang w:eastAsia="es-CL"/>
              </w:rPr>
            </w:pPr>
            <w:r w:rsidRPr="007A2B07">
              <w:rPr>
                <w:rFonts w:ascii="Calibri" w:hAnsi="Calibri" w:cs="Arial"/>
                <w:i/>
                <w:color w:val="548DD4"/>
                <w:sz w:val="20"/>
                <w:szCs w:val="20"/>
                <w:lang w:eastAsia="es-CL"/>
              </w:rPr>
              <w:t>Avance</w:t>
            </w:r>
          </w:p>
        </w:tc>
        <w:tc>
          <w:tcPr>
            <w:tcW w:w="1843" w:type="dxa"/>
            <w:vAlign w:val="center"/>
          </w:tcPr>
          <w:p w14:paraId="78962567" w14:textId="773D34D9" w:rsidR="007A2B07" w:rsidRPr="007A2B07" w:rsidRDefault="007A2B07" w:rsidP="007A2B07">
            <w:pPr>
              <w:jc w:val="both"/>
              <w:rPr>
                <w:rFonts w:ascii="Calibri" w:hAnsi="Calibri" w:cs="Arial"/>
                <w:i/>
                <w:color w:val="548DD4"/>
                <w:sz w:val="20"/>
                <w:szCs w:val="20"/>
                <w:lang w:eastAsia="es-CL"/>
              </w:rPr>
            </w:pPr>
            <w:r w:rsidRPr="007A2B07">
              <w:rPr>
                <w:rFonts w:ascii="Calibri" w:hAnsi="Calibri" w:cs="Arial"/>
                <w:i/>
                <w:color w:val="548DD4"/>
                <w:sz w:val="20"/>
                <w:szCs w:val="20"/>
                <w:lang w:eastAsia="es-CL"/>
              </w:rPr>
              <w:t>Análisis y levantamiento de requerimientos</w:t>
            </w:r>
          </w:p>
        </w:tc>
        <w:tc>
          <w:tcPr>
            <w:tcW w:w="3825" w:type="dxa"/>
            <w:vAlign w:val="center"/>
          </w:tcPr>
          <w:p w14:paraId="3325CDF7" w14:textId="537FF5C7" w:rsidR="007A2B07" w:rsidRPr="007A2B07" w:rsidRDefault="007A2B07" w:rsidP="007A2B07">
            <w:pPr>
              <w:jc w:val="both"/>
              <w:rPr>
                <w:rFonts w:ascii="Calibri" w:hAnsi="Calibri" w:cs="Arial"/>
                <w:i/>
                <w:color w:val="548DD4"/>
                <w:sz w:val="20"/>
                <w:szCs w:val="20"/>
                <w:lang w:eastAsia="es-CL"/>
              </w:rPr>
            </w:pPr>
            <w:r w:rsidRPr="007A2B07">
              <w:rPr>
                <w:rFonts w:ascii="Calibri" w:hAnsi="Calibri" w:cs="Arial"/>
                <w:i/>
                <w:color w:val="548DD4"/>
                <w:sz w:val="20"/>
                <w:szCs w:val="20"/>
                <w:lang w:eastAsia="es-CL"/>
              </w:rPr>
              <w:t>Registro del análisis de la plataforma actual de ISO 27001, componentes reutilizables y requerimientos levantados para incorporar ISO 42001.</w:t>
            </w:r>
          </w:p>
        </w:tc>
        <w:tc>
          <w:tcPr>
            <w:tcW w:w="2551" w:type="dxa"/>
            <w:vAlign w:val="center"/>
          </w:tcPr>
          <w:p w14:paraId="4C5B45C9" w14:textId="6F04C1BD" w:rsidR="007A2B07" w:rsidRPr="007A2B07" w:rsidRDefault="007A2B07" w:rsidP="007A2B07">
            <w:pPr>
              <w:jc w:val="both"/>
              <w:rPr>
                <w:rFonts w:ascii="Calibri" w:hAnsi="Calibri" w:cs="Arial"/>
                <w:i/>
                <w:color w:val="548DD4"/>
                <w:sz w:val="20"/>
                <w:szCs w:val="20"/>
                <w:lang w:eastAsia="es-CL"/>
              </w:rPr>
            </w:pPr>
            <w:r w:rsidRPr="007A2B07">
              <w:rPr>
                <w:rFonts w:ascii="Calibri" w:hAnsi="Calibri" w:cs="Arial"/>
                <w:i/>
                <w:color w:val="548DD4"/>
                <w:sz w:val="20"/>
                <w:szCs w:val="20"/>
                <w:lang w:eastAsia="es-CL"/>
              </w:rPr>
              <w:t>Demuestra la comprensión del sistema existente y fundamenta las decisiones de desarrollo.</w:t>
            </w:r>
          </w:p>
        </w:tc>
      </w:tr>
      <w:tr w:rsidR="007A2B07" w:rsidRPr="00CA29F2" w14:paraId="76C9D9C6" w14:textId="77777777" w:rsidTr="00211D6E">
        <w:trPr>
          <w:trHeight w:val="362"/>
        </w:trPr>
        <w:tc>
          <w:tcPr>
            <w:tcW w:w="1843" w:type="dxa"/>
            <w:vAlign w:val="center"/>
          </w:tcPr>
          <w:p w14:paraId="2BC6A800" w14:textId="24895677" w:rsidR="007A2B07" w:rsidRPr="007A2B07" w:rsidRDefault="007A2B07" w:rsidP="007A2B07">
            <w:pPr>
              <w:jc w:val="both"/>
              <w:rPr>
                <w:rFonts w:ascii="Calibri" w:hAnsi="Calibri" w:cs="Arial"/>
                <w:i/>
                <w:color w:val="548DD4"/>
                <w:sz w:val="20"/>
                <w:szCs w:val="20"/>
                <w:lang w:eastAsia="es-CL"/>
              </w:rPr>
            </w:pPr>
            <w:r w:rsidRPr="007A2B07">
              <w:rPr>
                <w:rFonts w:ascii="Calibri" w:hAnsi="Calibri" w:cs="Arial"/>
                <w:i/>
                <w:color w:val="548DD4"/>
                <w:sz w:val="20"/>
                <w:szCs w:val="20"/>
                <w:lang w:eastAsia="es-CL"/>
              </w:rPr>
              <w:t>Avance</w:t>
            </w:r>
          </w:p>
        </w:tc>
        <w:tc>
          <w:tcPr>
            <w:tcW w:w="1843" w:type="dxa"/>
            <w:vAlign w:val="center"/>
          </w:tcPr>
          <w:p w14:paraId="7F27CF07" w14:textId="43C6CECC" w:rsidR="007A2B07" w:rsidRPr="007A2B07" w:rsidRDefault="007A2B07" w:rsidP="007A2B07">
            <w:pPr>
              <w:jc w:val="both"/>
              <w:rPr>
                <w:rFonts w:ascii="Calibri" w:hAnsi="Calibri" w:cs="Arial"/>
                <w:i/>
                <w:color w:val="548DD4"/>
                <w:sz w:val="20"/>
                <w:szCs w:val="20"/>
                <w:lang w:eastAsia="es-CL"/>
              </w:rPr>
            </w:pPr>
            <w:r w:rsidRPr="007A2B07">
              <w:rPr>
                <w:rFonts w:ascii="Calibri" w:hAnsi="Calibri" w:cs="Arial"/>
                <w:i/>
                <w:color w:val="548DD4"/>
                <w:sz w:val="20"/>
                <w:szCs w:val="20"/>
                <w:lang w:eastAsia="es-CL"/>
              </w:rPr>
              <w:t>Diseño técnico e integración</w:t>
            </w:r>
          </w:p>
        </w:tc>
        <w:tc>
          <w:tcPr>
            <w:tcW w:w="3825" w:type="dxa"/>
            <w:vAlign w:val="center"/>
          </w:tcPr>
          <w:p w14:paraId="353E473D" w14:textId="3CF85176" w:rsidR="007A2B07" w:rsidRPr="007A2B07" w:rsidRDefault="007A2B07" w:rsidP="007A2B07">
            <w:pPr>
              <w:jc w:val="both"/>
              <w:rPr>
                <w:rFonts w:ascii="Calibri" w:hAnsi="Calibri" w:cs="Arial"/>
                <w:i/>
                <w:color w:val="548DD4"/>
                <w:sz w:val="20"/>
                <w:szCs w:val="20"/>
                <w:lang w:eastAsia="es-CL"/>
              </w:rPr>
            </w:pPr>
            <w:r w:rsidRPr="007A2B07">
              <w:rPr>
                <w:rFonts w:ascii="Calibri" w:hAnsi="Calibri" w:cs="Arial"/>
                <w:i/>
                <w:color w:val="548DD4"/>
                <w:sz w:val="20"/>
                <w:szCs w:val="20"/>
                <w:lang w:eastAsia="es-CL"/>
              </w:rPr>
              <w:t xml:space="preserve">Evidencias del diseño de la solución, componentes, flujos, </w:t>
            </w:r>
            <w:proofErr w:type="spellStart"/>
            <w:r w:rsidRPr="007A2B07">
              <w:rPr>
                <w:rFonts w:ascii="Calibri" w:hAnsi="Calibri" w:cs="Arial"/>
                <w:i/>
                <w:color w:val="548DD4"/>
                <w:sz w:val="20"/>
                <w:szCs w:val="20"/>
                <w:lang w:eastAsia="es-CL"/>
              </w:rPr>
              <w:t>APIs</w:t>
            </w:r>
            <w:proofErr w:type="spellEnd"/>
            <w:r w:rsidRPr="007A2B07">
              <w:rPr>
                <w:rFonts w:ascii="Calibri" w:hAnsi="Calibri" w:cs="Arial"/>
                <w:i/>
                <w:color w:val="548DD4"/>
                <w:sz w:val="20"/>
                <w:szCs w:val="20"/>
                <w:lang w:eastAsia="es-CL"/>
              </w:rPr>
              <w:t>, datos, permisos u otros elementos técnicos modificados o incorporados según el alcance.</w:t>
            </w:r>
          </w:p>
        </w:tc>
        <w:tc>
          <w:tcPr>
            <w:tcW w:w="2551" w:type="dxa"/>
            <w:vAlign w:val="center"/>
          </w:tcPr>
          <w:p w14:paraId="313FC734" w14:textId="1D59DE2E" w:rsidR="007A2B07" w:rsidRPr="007A2B07" w:rsidRDefault="007A2B07" w:rsidP="007A2B07">
            <w:pPr>
              <w:jc w:val="both"/>
              <w:rPr>
                <w:rFonts w:ascii="Calibri" w:hAnsi="Calibri" w:cs="Arial"/>
                <w:i/>
                <w:color w:val="548DD4"/>
                <w:sz w:val="20"/>
                <w:szCs w:val="20"/>
                <w:lang w:eastAsia="es-CL"/>
              </w:rPr>
            </w:pPr>
            <w:r w:rsidRPr="007A2B07">
              <w:rPr>
                <w:rFonts w:ascii="Calibri" w:hAnsi="Calibri" w:cs="Arial"/>
                <w:i/>
                <w:color w:val="548DD4"/>
                <w:sz w:val="20"/>
                <w:szCs w:val="20"/>
                <w:lang w:eastAsia="es-CL"/>
              </w:rPr>
              <w:t>Demuestra cómo se planificó la integración de ISO 42001 respetando la arquitectura existente.</w:t>
            </w:r>
          </w:p>
        </w:tc>
      </w:tr>
      <w:tr w:rsidR="007A2B07" w:rsidRPr="00CA29F2" w14:paraId="34B7F5BE" w14:textId="77777777" w:rsidTr="00211D6E">
        <w:trPr>
          <w:trHeight w:val="362"/>
        </w:trPr>
        <w:tc>
          <w:tcPr>
            <w:tcW w:w="1843" w:type="dxa"/>
            <w:vAlign w:val="center"/>
          </w:tcPr>
          <w:p w14:paraId="38B47080" w14:textId="1BAD5B09" w:rsidR="007A2B07" w:rsidRPr="007A2B07" w:rsidRDefault="007A2B07" w:rsidP="007A2B07">
            <w:pPr>
              <w:jc w:val="both"/>
              <w:rPr>
                <w:rFonts w:ascii="Calibri" w:hAnsi="Calibri" w:cs="Arial"/>
                <w:i/>
                <w:color w:val="548DD4"/>
                <w:sz w:val="20"/>
                <w:szCs w:val="20"/>
                <w:lang w:eastAsia="es-CL"/>
              </w:rPr>
            </w:pPr>
            <w:r w:rsidRPr="007A2B07">
              <w:rPr>
                <w:rFonts w:ascii="Calibri" w:hAnsi="Calibri" w:cs="Arial"/>
                <w:i/>
                <w:color w:val="548DD4"/>
                <w:sz w:val="20"/>
                <w:szCs w:val="20"/>
                <w:lang w:eastAsia="es-CL"/>
              </w:rPr>
              <w:t>Final</w:t>
            </w:r>
          </w:p>
        </w:tc>
        <w:tc>
          <w:tcPr>
            <w:tcW w:w="1843" w:type="dxa"/>
            <w:vAlign w:val="center"/>
          </w:tcPr>
          <w:p w14:paraId="7D4CA3CE" w14:textId="648A3751" w:rsidR="007A2B07" w:rsidRPr="007A2B07" w:rsidRDefault="007A2B07" w:rsidP="007A2B07">
            <w:pPr>
              <w:jc w:val="both"/>
              <w:rPr>
                <w:rFonts w:ascii="Calibri" w:hAnsi="Calibri" w:cs="Arial"/>
                <w:i/>
                <w:color w:val="548DD4"/>
                <w:sz w:val="20"/>
                <w:szCs w:val="20"/>
                <w:lang w:eastAsia="es-CL"/>
              </w:rPr>
            </w:pPr>
            <w:r w:rsidRPr="007A2B07">
              <w:rPr>
                <w:rFonts w:ascii="Calibri" w:hAnsi="Calibri" w:cs="Arial"/>
                <w:i/>
                <w:color w:val="548DD4"/>
                <w:sz w:val="20"/>
                <w:szCs w:val="20"/>
                <w:lang w:eastAsia="es-CL"/>
              </w:rPr>
              <w:t>Funcionalidad ISO 42001 integrada</w:t>
            </w:r>
          </w:p>
        </w:tc>
        <w:tc>
          <w:tcPr>
            <w:tcW w:w="3825" w:type="dxa"/>
            <w:vAlign w:val="center"/>
          </w:tcPr>
          <w:p w14:paraId="003516B8" w14:textId="25791078" w:rsidR="007A2B07" w:rsidRPr="007A2B07" w:rsidRDefault="007A2B07" w:rsidP="007A2B07">
            <w:pPr>
              <w:jc w:val="both"/>
              <w:rPr>
                <w:rFonts w:ascii="Calibri" w:hAnsi="Calibri" w:cs="Arial"/>
                <w:i/>
                <w:color w:val="548DD4"/>
                <w:sz w:val="20"/>
                <w:szCs w:val="20"/>
                <w:lang w:eastAsia="es-CL"/>
              </w:rPr>
            </w:pPr>
            <w:r w:rsidRPr="007A2B07">
              <w:rPr>
                <w:rFonts w:ascii="Calibri" w:hAnsi="Calibri" w:cs="Arial"/>
                <w:i/>
                <w:color w:val="548DD4"/>
                <w:sz w:val="20"/>
                <w:szCs w:val="20"/>
                <w:lang w:eastAsia="es-CL"/>
              </w:rPr>
              <w:t>Demostración del software con las funcionalidades desarrolladas para incorporar la gestión de ISO 42001 dentro de la plataforma que ya contempla ISO 27001.</w:t>
            </w:r>
          </w:p>
        </w:tc>
        <w:tc>
          <w:tcPr>
            <w:tcW w:w="2551" w:type="dxa"/>
            <w:vAlign w:val="center"/>
          </w:tcPr>
          <w:p w14:paraId="0FB52E25" w14:textId="3079909B" w:rsidR="007A2B07" w:rsidRPr="007A2B07" w:rsidRDefault="007A2B07" w:rsidP="007A2B07">
            <w:pPr>
              <w:jc w:val="both"/>
              <w:rPr>
                <w:rFonts w:ascii="Calibri" w:hAnsi="Calibri" w:cs="Arial"/>
                <w:i/>
                <w:color w:val="548DD4"/>
                <w:sz w:val="20"/>
                <w:szCs w:val="20"/>
                <w:lang w:eastAsia="es-CL"/>
              </w:rPr>
            </w:pPr>
            <w:r w:rsidRPr="007A2B07">
              <w:rPr>
                <w:rFonts w:ascii="Calibri" w:hAnsi="Calibri" w:cs="Arial"/>
                <w:i/>
                <w:color w:val="548DD4"/>
                <w:sz w:val="20"/>
                <w:szCs w:val="20"/>
                <w:lang w:eastAsia="es-CL"/>
              </w:rPr>
              <w:t>Es la principal evidencia funcional del cumplimiento del objetivo general.</w:t>
            </w:r>
          </w:p>
        </w:tc>
      </w:tr>
      <w:tr w:rsidR="007A2B07" w:rsidRPr="00CA29F2" w14:paraId="5A718B97" w14:textId="77777777" w:rsidTr="00211D6E">
        <w:trPr>
          <w:trHeight w:val="362"/>
        </w:trPr>
        <w:tc>
          <w:tcPr>
            <w:tcW w:w="1843" w:type="dxa"/>
            <w:vAlign w:val="center"/>
          </w:tcPr>
          <w:p w14:paraId="105B59FE" w14:textId="42AD48F3" w:rsidR="007A2B07" w:rsidRPr="007A2B07" w:rsidRDefault="007A2B07" w:rsidP="007A2B07">
            <w:pPr>
              <w:jc w:val="both"/>
              <w:rPr>
                <w:rFonts w:ascii="Calibri" w:hAnsi="Calibri" w:cs="Arial"/>
                <w:i/>
                <w:color w:val="548DD4"/>
                <w:sz w:val="20"/>
                <w:szCs w:val="20"/>
                <w:lang w:eastAsia="es-CL"/>
              </w:rPr>
            </w:pPr>
            <w:r w:rsidRPr="007A2B07">
              <w:rPr>
                <w:rFonts w:ascii="Calibri" w:hAnsi="Calibri" w:cs="Arial"/>
                <w:i/>
                <w:color w:val="548DD4"/>
                <w:sz w:val="20"/>
                <w:szCs w:val="20"/>
                <w:lang w:eastAsia="es-CL"/>
              </w:rPr>
              <w:lastRenderedPageBreak/>
              <w:t>Final</w:t>
            </w:r>
          </w:p>
        </w:tc>
        <w:tc>
          <w:tcPr>
            <w:tcW w:w="1843" w:type="dxa"/>
            <w:vAlign w:val="center"/>
          </w:tcPr>
          <w:p w14:paraId="1B981468" w14:textId="0CD4666D" w:rsidR="007A2B07" w:rsidRPr="007A2B07" w:rsidRDefault="007A2B07" w:rsidP="007A2B07">
            <w:pPr>
              <w:jc w:val="both"/>
              <w:rPr>
                <w:rFonts w:ascii="Calibri" w:hAnsi="Calibri" w:cs="Arial"/>
                <w:i/>
                <w:color w:val="548DD4"/>
                <w:sz w:val="20"/>
                <w:szCs w:val="20"/>
                <w:lang w:eastAsia="es-CL"/>
              </w:rPr>
            </w:pPr>
            <w:r w:rsidRPr="007A2B07">
              <w:rPr>
                <w:rFonts w:ascii="Calibri" w:hAnsi="Calibri" w:cs="Arial"/>
                <w:i/>
                <w:color w:val="548DD4"/>
                <w:sz w:val="20"/>
                <w:szCs w:val="20"/>
                <w:lang w:eastAsia="es-CL"/>
              </w:rPr>
              <w:t>Pruebas y validación</w:t>
            </w:r>
          </w:p>
        </w:tc>
        <w:tc>
          <w:tcPr>
            <w:tcW w:w="3825" w:type="dxa"/>
            <w:vAlign w:val="center"/>
          </w:tcPr>
          <w:p w14:paraId="345396EC" w14:textId="4B6A1666" w:rsidR="007A2B07" w:rsidRPr="007A2B07" w:rsidRDefault="007A2B07" w:rsidP="007A2B07">
            <w:pPr>
              <w:jc w:val="both"/>
              <w:rPr>
                <w:rFonts w:ascii="Calibri" w:hAnsi="Calibri" w:cs="Arial"/>
                <w:i/>
                <w:color w:val="548DD4"/>
                <w:sz w:val="20"/>
                <w:szCs w:val="20"/>
                <w:lang w:eastAsia="es-CL"/>
              </w:rPr>
            </w:pPr>
            <w:r w:rsidRPr="007A2B07">
              <w:rPr>
                <w:rFonts w:ascii="Calibri" w:hAnsi="Calibri" w:cs="Arial"/>
                <w:i/>
                <w:color w:val="548DD4"/>
                <w:sz w:val="20"/>
                <w:szCs w:val="20"/>
                <w:lang w:eastAsia="es-CL"/>
              </w:rPr>
              <w:t>Registro de pruebas realizadas sobre las funcionalidades implementadas y su integración con la plataforma existente, incluyendo resultados y correcciones relevantes.</w:t>
            </w:r>
          </w:p>
        </w:tc>
        <w:tc>
          <w:tcPr>
            <w:tcW w:w="2551" w:type="dxa"/>
            <w:vAlign w:val="center"/>
          </w:tcPr>
          <w:p w14:paraId="05D1BDF8" w14:textId="3FEA26BD" w:rsidR="007A2B07" w:rsidRPr="007A2B07" w:rsidRDefault="007A2B07" w:rsidP="007A2B07">
            <w:pPr>
              <w:jc w:val="both"/>
              <w:rPr>
                <w:rFonts w:ascii="Calibri" w:hAnsi="Calibri" w:cs="Arial"/>
                <w:i/>
                <w:color w:val="548DD4"/>
                <w:sz w:val="20"/>
                <w:szCs w:val="20"/>
                <w:lang w:eastAsia="es-CL"/>
              </w:rPr>
            </w:pPr>
            <w:r w:rsidRPr="007A2B07">
              <w:rPr>
                <w:rFonts w:ascii="Calibri" w:hAnsi="Calibri" w:cs="Arial"/>
                <w:i/>
                <w:color w:val="548DD4"/>
                <w:sz w:val="20"/>
                <w:szCs w:val="20"/>
                <w:lang w:eastAsia="es-CL"/>
              </w:rPr>
              <w:t>Permite verificar el funcionamiento de la solución y su integración con las funciones existentes.</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400601" w14:paraId="177290D7" w14:textId="77777777" w:rsidTr="00C27FB0">
        <w:trPr>
          <w:jc w:val="center"/>
        </w:trPr>
        <w:tc>
          <w:tcPr>
            <w:tcW w:w="11061" w:type="dxa"/>
            <w:gridSpan w:val="7"/>
          </w:tcPr>
          <w:p w14:paraId="7B4815A0" w14:textId="77777777" w:rsidR="00D110EC" w:rsidRPr="00400601" w:rsidRDefault="00D110EC" w:rsidP="00C27FB0">
            <w:pPr>
              <w:jc w:val="center"/>
              <w:rPr>
                <w:rFonts w:ascii="Calibri" w:hAnsi="Calibri"/>
                <w:color w:val="1F3864" w:themeColor="accent1" w:themeShade="80"/>
                <w:sz w:val="18"/>
                <w:szCs w:val="18"/>
              </w:rPr>
            </w:pPr>
            <w:r w:rsidRPr="00400601">
              <w:rPr>
                <w:rFonts w:ascii="Calibri" w:hAnsi="Calibri"/>
                <w:b/>
                <w:color w:val="1F3864" w:themeColor="accent1" w:themeShade="80"/>
                <w:sz w:val="18"/>
                <w:szCs w:val="18"/>
              </w:rPr>
              <w:t>Plan de Trabajo Proyecto APT</w:t>
            </w:r>
          </w:p>
        </w:tc>
      </w:tr>
      <w:tr w:rsidR="00D110EC" w:rsidRPr="00400601" w14:paraId="09131FEF" w14:textId="77777777" w:rsidTr="00C27FB0">
        <w:trPr>
          <w:jc w:val="center"/>
        </w:trPr>
        <w:tc>
          <w:tcPr>
            <w:tcW w:w="1580" w:type="dxa"/>
          </w:tcPr>
          <w:p w14:paraId="212B495F" w14:textId="77B336F1" w:rsidR="00D110EC" w:rsidRPr="00400601" w:rsidRDefault="00756A26" w:rsidP="009B74E2">
            <w:pPr>
              <w:jc w:val="center"/>
              <w:rPr>
                <w:rFonts w:ascii="Calibri" w:hAnsi="Calibri"/>
                <w:color w:val="1F3864" w:themeColor="accent1" w:themeShade="80"/>
                <w:sz w:val="18"/>
                <w:szCs w:val="18"/>
              </w:rPr>
            </w:pPr>
            <w:r w:rsidRPr="00400601">
              <w:rPr>
                <w:rFonts w:ascii="Calibri" w:hAnsi="Calibri"/>
                <w:color w:val="1F3864" w:themeColor="accent1" w:themeShade="80"/>
                <w:sz w:val="18"/>
                <w:szCs w:val="18"/>
              </w:rPr>
              <w:t>C</w:t>
            </w:r>
            <w:r w:rsidR="00D110EC" w:rsidRPr="00400601">
              <w:rPr>
                <w:rFonts w:ascii="Calibri" w:hAnsi="Calibri"/>
                <w:color w:val="1F3864" w:themeColor="accent1" w:themeShade="80"/>
                <w:sz w:val="18"/>
                <w:szCs w:val="18"/>
              </w:rPr>
              <w:t>ompetencia o unidades de competencias</w:t>
            </w:r>
          </w:p>
        </w:tc>
        <w:tc>
          <w:tcPr>
            <w:tcW w:w="1580" w:type="dxa"/>
            <w:vAlign w:val="center"/>
          </w:tcPr>
          <w:p w14:paraId="14AA7D02" w14:textId="77777777" w:rsidR="00D110EC" w:rsidRPr="00400601" w:rsidRDefault="00D110EC" w:rsidP="00C27FB0">
            <w:pPr>
              <w:jc w:val="center"/>
              <w:rPr>
                <w:rFonts w:ascii="Calibri" w:hAnsi="Calibri"/>
                <w:color w:val="1F3864" w:themeColor="accent1" w:themeShade="80"/>
                <w:sz w:val="18"/>
                <w:szCs w:val="18"/>
              </w:rPr>
            </w:pPr>
            <w:r w:rsidRPr="00400601">
              <w:rPr>
                <w:rFonts w:ascii="Calibri" w:hAnsi="Calibri"/>
                <w:color w:val="1F3864" w:themeColor="accent1" w:themeShade="80"/>
                <w:sz w:val="18"/>
                <w:szCs w:val="18"/>
              </w:rPr>
              <w:t xml:space="preserve">Nombre </w:t>
            </w:r>
            <w:proofErr w:type="gramStart"/>
            <w:r w:rsidRPr="00400601">
              <w:rPr>
                <w:rFonts w:ascii="Calibri" w:hAnsi="Calibri"/>
                <w:color w:val="1F3864" w:themeColor="accent1" w:themeShade="80"/>
                <w:sz w:val="18"/>
                <w:szCs w:val="18"/>
              </w:rPr>
              <w:t>de  Actividades</w:t>
            </w:r>
            <w:proofErr w:type="gramEnd"/>
            <w:r w:rsidRPr="00400601">
              <w:rPr>
                <w:rFonts w:ascii="Calibri" w:hAnsi="Calibri"/>
                <w:color w:val="1F3864" w:themeColor="accent1" w:themeShade="80"/>
                <w:sz w:val="18"/>
                <w:szCs w:val="18"/>
              </w:rPr>
              <w:t>/Tareas</w:t>
            </w:r>
          </w:p>
        </w:tc>
        <w:tc>
          <w:tcPr>
            <w:tcW w:w="1580" w:type="dxa"/>
            <w:vAlign w:val="center"/>
          </w:tcPr>
          <w:p w14:paraId="6B8A71BE" w14:textId="77777777" w:rsidR="00D110EC" w:rsidRPr="00400601" w:rsidRDefault="00D110EC" w:rsidP="00C27FB0">
            <w:pPr>
              <w:jc w:val="center"/>
              <w:rPr>
                <w:rFonts w:ascii="Calibri" w:hAnsi="Calibri"/>
                <w:color w:val="1F3864" w:themeColor="accent1" w:themeShade="80"/>
                <w:sz w:val="18"/>
                <w:szCs w:val="18"/>
              </w:rPr>
            </w:pPr>
            <w:r w:rsidRPr="00400601">
              <w:rPr>
                <w:rFonts w:ascii="Calibri" w:hAnsi="Calibri"/>
                <w:color w:val="1F3864" w:themeColor="accent1" w:themeShade="80"/>
                <w:sz w:val="18"/>
                <w:szCs w:val="18"/>
              </w:rPr>
              <w:t>Descripción Actividades/Tareas</w:t>
            </w:r>
          </w:p>
        </w:tc>
        <w:tc>
          <w:tcPr>
            <w:tcW w:w="1580" w:type="dxa"/>
            <w:vAlign w:val="center"/>
          </w:tcPr>
          <w:p w14:paraId="393A72D2" w14:textId="77777777" w:rsidR="00D110EC" w:rsidRPr="00400601" w:rsidRDefault="00D110EC" w:rsidP="00C27FB0">
            <w:pPr>
              <w:jc w:val="center"/>
              <w:rPr>
                <w:rFonts w:ascii="Calibri" w:hAnsi="Calibri"/>
                <w:color w:val="1F3864" w:themeColor="accent1" w:themeShade="80"/>
                <w:sz w:val="18"/>
                <w:szCs w:val="18"/>
              </w:rPr>
            </w:pPr>
            <w:r w:rsidRPr="00400601">
              <w:rPr>
                <w:rFonts w:ascii="Calibri" w:hAnsi="Calibri"/>
                <w:color w:val="1F3864" w:themeColor="accent1" w:themeShade="80"/>
                <w:sz w:val="18"/>
                <w:szCs w:val="18"/>
              </w:rPr>
              <w:t>Recursos</w:t>
            </w:r>
          </w:p>
        </w:tc>
        <w:tc>
          <w:tcPr>
            <w:tcW w:w="1580" w:type="dxa"/>
            <w:tcBorders>
              <w:right w:val="single" w:sz="4" w:space="0" w:color="FFFFFF" w:themeColor="background1"/>
            </w:tcBorders>
            <w:vAlign w:val="center"/>
          </w:tcPr>
          <w:p w14:paraId="1253B23E" w14:textId="77777777" w:rsidR="00D110EC" w:rsidRPr="00400601" w:rsidRDefault="00D110EC" w:rsidP="00C27FB0">
            <w:pPr>
              <w:jc w:val="center"/>
              <w:rPr>
                <w:rFonts w:ascii="Calibri" w:hAnsi="Calibri"/>
                <w:color w:val="1F3864" w:themeColor="accent1" w:themeShade="80"/>
                <w:sz w:val="18"/>
                <w:szCs w:val="18"/>
              </w:rPr>
            </w:pPr>
            <w:r w:rsidRPr="00400601">
              <w:rPr>
                <w:rFonts w:ascii="Calibri" w:hAnsi="Calibri"/>
                <w:color w:val="1F3864" w:themeColor="accent1" w:themeShade="80"/>
                <w:sz w:val="18"/>
                <w:szCs w:val="18"/>
              </w:rPr>
              <w:t>Duración de la actividad</w:t>
            </w:r>
          </w:p>
          <w:p w14:paraId="2FE9A0BC" w14:textId="77777777" w:rsidR="00D110EC" w:rsidRPr="00400601" w:rsidRDefault="00D110EC" w:rsidP="00C27FB0">
            <w:pPr>
              <w:jc w:val="center"/>
              <w:rPr>
                <w:rFonts w:ascii="Calibri" w:hAnsi="Calibri"/>
                <w:color w:val="1F3864" w:themeColor="accent1" w:themeShade="80"/>
                <w:sz w:val="18"/>
                <w:szCs w:val="18"/>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400601" w:rsidRDefault="00D110EC" w:rsidP="00C27FB0">
            <w:pPr>
              <w:jc w:val="center"/>
              <w:rPr>
                <w:rFonts w:ascii="Calibri" w:hAnsi="Calibri"/>
                <w:color w:val="1F3864" w:themeColor="accent1" w:themeShade="80"/>
                <w:sz w:val="18"/>
                <w:szCs w:val="18"/>
              </w:rPr>
            </w:pPr>
            <w:r w:rsidRPr="00400601">
              <w:rPr>
                <w:rFonts w:ascii="Calibri" w:hAnsi="Calibri"/>
                <w:color w:val="1F3864" w:themeColor="accent1" w:themeShade="80"/>
                <w:sz w:val="18"/>
                <w:szCs w:val="18"/>
              </w:rPr>
              <w:t>Responsable</w:t>
            </w:r>
            <w:r w:rsidRPr="00400601">
              <w:rPr>
                <w:rStyle w:val="Refdenotaalpie"/>
                <w:rFonts w:ascii="Calibri" w:hAnsi="Calibri"/>
                <w:color w:val="1F3864" w:themeColor="accent1" w:themeShade="80"/>
                <w:sz w:val="18"/>
                <w:szCs w:val="18"/>
              </w:rPr>
              <w:footnoteReference w:id="1"/>
            </w:r>
          </w:p>
        </w:tc>
        <w:tc>
          <w:tcPr>
            <w:tcW w:w="1581" w:type="dxa"/>
            <w:vAlign w:val="center"/>
          </w:tcPr>
          <w:p w14:paraId="04A3557C" w14:textId="77777777" w:rsidR="00D110EC" w:rsidRPr="00400601" w:rsidRDefault="00D110EC" w:rsidP="00C27FB0">
            <w:pPr>
              <w:jc w:val="center"/>
              <w:rPr>
                <w:rFonts w:ascii="Calibri" w:hAnsi="Calibri"/>
                <w:color w:val="1F3864" w:themeColor="accent1" w:themeShade="80"/>
                <w:sz w:val="18"/>
                <w:szCs w:val="18"/>
              </w:rPr>
            </w:pPr>
            <w:r w:rsidRPr="00400601">
              <w:rPr>
                <w:rFonts w:ascii="Calibri" w:hAnsi="Calibri"/>
                <w:color w:val="1F3864" w:themeColor="accent1" w:themeShade="80"/>
                <w:sz w:val="18"/>
                <w:szCs w:val="18"/>
              </w:rPr>
              <w:t>Observaciones</w:t>
            </w:r>
          </w:p>
        </w:tc>
      </w:tr>
      <w:tr w:rsidR="00400601" w:rsidRPr="00400601" w14:paraId="591B4E66" w14:textId="77777777" w:rsidTr="00E95AAD">
        <w:trPr>
          <w:jc w:val="center"/>
        </w:trPr>
        <w:tc>
          <w:tcPr>
            <w:tcW w:w="1580" w:type="dxa"/>
            <w:vAlign w:val="center"/>
          </w:tcPr>
          <w:p w14:paraId="3DBCDBE8" w14:textId="51893E64" w:rsidR="00400601" w:rsidRPr="00400601" w:rsidRDefault="00400601" w:rsidP="00400601">
            <w:pPr>
              <w:jc w:val="both"/>
              <w:rPr>
                <w:rFonts w:ascii="Calibri" w:hAnsi="Calibri" w:cs="Arial"/>
                <w:i/>
                <w:color w:val="548DD4"/>
                <w:sz w:val="16"/>
                <w:szCs w:val="16"/>
                <w:lang w:eastAsia="es-CL"/>
              </w:rPr>
            </w:pPr>
            <w:r w:rsidRPr="00400601">
              <w:rPr>
                <w:rFonts w:ascii="Calibri" w:hAnsi="Calibri" w:cs="Arial"/>
                <w:i/>
                <w:color w:val="548DD4"/>
                <w:sz w:val="16"/>
                <w:szCs w:val="16"/>
                <w:lang w:eastAsia="es-CL"/>
              </w:rPr>
              <w:t>Análisis y Planificación de Requerimientos / Arquitectura de Software</w:t>
            </w:r>
          </w:p>
        </w:tc>
        <w:tc>
          <w:tcPr>
            <w:tcW w:w="1580" w:type="dxa"/>
            <w:vAlign w:val="center"/>
          </w:tcPr>
          <w:p w14:paraId="114D2315" w14:textId="2E875A49" w:rsidR="00400601" w:rsidRPr="00400601" w:rsidRDefault="00400601" w:rsidP="00400601">
            <w:pPr>
              <w:jc w:val="both"/>
              <w:rPr>
                <w:rFonts w:ascii="Calibri" w:hAnsi="Calibri" w:cs="Arial"/>
                <w:i/>
                <w:color w:val="548DD4"/>
                <w:sz w:val="16"/>
                <w:szCs w:val="16"/>
                <w:lang w:eastAsia="es-CL"/>
              </w:rPr>
            </w:pPr>
            <w:r w:rsidRPr="00400601">
              <w:rPr>
                <w:rFonts w:ascii="Calibri" w:hAnsi="Calibri" w:cs="Arial"/>
                <w:i/>
                <w:color w:val="548DD4"/>
                <w:sz w:val="16"/>
                <w:szCs w:val="16"/>
                <w:lang w:eastAsia="es-CL"/>
              </w:rPr>
              <w:t>Análisis de plataforma y requerimientos</w:t>
            </w:r>
          </w:p>
        </w:tc>
        <w:tc>
          <w:tcPr>
            <w:tcW w:w="1580" w:type="dxa"/>
            <w:vAlign w:val="center"/>
          </w:tcPr>
          <w:p w14:paraId="5747A143" w14:textId="1721FF35" w:rsidR="00400601" w:rsidRPr="00400601" w:rsidRDefault="00400601" w:rsidP="00400601">
            <w:pPr>
              <w:jc w:val="both"/>
              <w:rPr>
                <w:rFonts w:ascii="Calibri" w:hAnsi="Calibri" w:cs="Arial"/>
                <w:i/>
                <w:color w:val="548DD4"/>
                <w:sz w:val="16"/>
                <w:szCs w:val="16"/>
                <w:lang w:eastAsia="es-CL"/>
              </w:rPr>
            </w:pPr>
            <w:r w:rsidRPr="00400601">
              <w:rPr>
                <w:rFonts w:ascii="Calibri" w:hAnsi="Calibri" w:cs="Arial"/>
                <w:i/>
                <w:color w:val="548DD4"/>
                <w:sz w:val="16"/>
                <w:szCs w:val="16"/>
                <w:lang w:eastAsia="es-CL"/>
              </w:rPr>
              <w:t>Revisar la implementación existente de ISO 27001, identificar componentes reutilizables y levantar los requerimientos para incorporar ISO 42001.</w:t>
            </w:r>
          </w:p>
        </w:tc>
        <w:tc>
          <w:tcPr>
            <w:tcW w:w="1580" w:type="dxa"/>
            <w:vAlign w:val="center"/>
          </w:tcPr>
          <w:p w14:paraId="72026FDD" w14:textId="0875A5C5" w:rsidR="00400601" w:rsidRPr="00400601" w:rsidRDefault="00400601" w:rsidP="00400601">
            <w:pPr>
              <w:jc w:val="both"/>
              <w:rPr>
                <w:rFonts w:ascii="Calibri" w:hAnsi="Calibri" w:cs="Arial"/>
                <w:i/>
                <w:color w:val="548DD4"/>
                <w:sz w:val="16"/>
                <w:szCs w:val="16"/>
                <w:lang w:eastAsia="es-CL"/>
              </w:rPr>
            </w:pPr>
            <w:r w:rsidRPr="00400601">
              <w:rPr>
                <w:rFonts w:ascii="Calibri" w:hAnsi="Calibri" w:cs="Arial"/>
                <w:i/>
                <w:color w:val="548DD4"/>
                <w:sz w:val="16"/>
                <w:szCs w:val="16"/>
                <w:lang w:eastAsia="es-CL"/>
              </w:rPr>
              <w:t>Repositorio Git, documentación, software existente y reuniones semanales.</w:t>
            </w:r>
          </w:p>
        </w:tc>
        <w:tc>
          <w:tcPr>
            <w:tcW w:w="1580" w:type="dxa"/>
            <w:tcBorders>
              <w:right w:val="single" w:sz="4" w:space="0" w:color="FFFFFF" w:themeColor="background1"/>
            </w:tcBorders>
            <w:vAlign w:val="center"/>
          </w:tcPr>
          <w:p w14:paraId="70ACE2B5" w14:textId="24652B51" w:rsidR="00400601" w:rsidRPr="00400601" w:rsidRDefault="00400601" w:rsidP="00400601">
            <w:pPr>
              <w:jc w:val="both"/>
              <w:rPr>
                <w:rFonts w:ascii="Calibri" w:hAnsi="Calibri" w:cs="Arial"/>
                <w:i/>
                <w:color w:val="548DD4"/>
                <w:sz w:val="16"/>
                <w:szCs w:val="16"/>
                <w:lang w:eastAsia="es-CL"/>
              </w:rPr>
            </w:pPr>
            <w:r w:rsidRPr="00400601">
              <w:rPr>
                <w:rFonts w:ascii="Calibri" w:hAnsi="Calibri" w:cs="Arial"/>
                <w:i/>
                <w:color w:val="548DD4"/>
                <w:sz w:val="16"/>
                <w:szCs w:val="16"/>
                <w:lang w:eastAsia="es-CL"/>
              </w:rPr>
              <w:t>Fase 1</w:t>
            </w:r>
          </w:p>
        </w:tc>
        <w:tc>
          <w:tcPr>
            <w:tcW w:w="1580" w:type="dxa"/>
            <w:tcBorders>
              <w:left w:val="single" w:sz="4" w:space="0" w:color="FFFFFF" w:themeColor="background1"/>
            </w:tcBorders>
            <w:shd w:val="clear" w:color="auto" w:fill="D9D9D9" w:themeFill="background1" w:themeFillShade="D9"/>
            <w:vAlign w:val="center"/>
          </w:tcPr>
          <w:p w14:paraId="338238FC" w14:textId="39FE0480" w:rsidR="00400601" w:rsidRPr="00400601" w:rsidRDefault="00400601" w:rsidP="00400601">
            <w:pPr>
              <w:jc w:val="both"/>
              <w:rPr>
                <w:rFonts w:ascii="Calibri" w:hAnsi="Calibri" w:cs="Arial"/>
                <w:i/>
                <w:color w:val="548DD4"/>
                <w:sz w:val="16"/>
                <w:szCs w:val="16"/>
                <w:lang w:eastAsia="es-CL"/>
              </w:rPr>
            </w:pPr>
            <w:r w:rsidRPr="00400601">
              <w:rPr>
                <w:rFonts w:ascii="Calibri" w:hAnsi="Calibri" w:cs="Arial"/>
                <w:i/>
                <w:color w:val="548DD4"/>
                <w:sz w:val="16"/>
                <w:szCs w:val="16"/>
                <w:lang w:eastAsia="es-CL"/>
              </w:rPr>
              <w:t>Vicente Suazo y Andrea Santana</w:t>
            </w:r>
          </w:p>
        </w:tc>
        <w:tc>
          <w:tcPr>
            <w:tcW w:w="1581" w:type="dxa"/>
            <w:vAlign w:val="center"/>
          </w:tcPr>
          <w:p w14:paraId="25D0DF82" w14:textId="4A645BF4" w:rsidR="00400601" w:rsidRPr="00400601" w:rsidRDefault="00400601" w:rsidP="00400601">
            <w:pPr>
              <w:jc w:val="both"/>
              <w:rPr>
                <w:rFonts w:ascii="Calibri" w:hAnsi="Calibri" w:cs="Arial"/>
                <w:i/>
                <w:color w:val="548DD4"/>
                <w:sz w:val="16"/>
                <w:szCs w:val="16"/>
                <w:lang w:eastAsia="es-CL"/>
              </w:rPr>
            </w:pPr>
            <w:r w:rsidRPr="00400601">
              <w:rPr>
                <w:rFonts w:ascii="Calibri" w:hAnsi="Calibri" w:cs="Arial"/>
                <w:i/>
                <w:color w:val="548DD4"/>
                <w:sz w:val="16"/>
                <w:szCs w:val="16"/>
                <w:lang w:eastAsia="es-CL"/>
              </w:rPr>
              <w:t>Base para definir el alcance funcional y técnico.</w:t>
            </w:r>
          </w:p>
        </w:tc>
      </w:tr>
      <w:tr w:rsidR="00400601" w:rsidRPr="00400601" w14:paraId="77458A90" w14:textId="77777777" w:rsidTr="00E95AAD">
        <w:trPr>
          <w:jc w:val="center"/>
        </w:trPr>
        <w:tc>
          <w:tcPr>
            <w:tcW w:w="1580" w:type="dxa"/>
            <w:vAlign w:val="center"/>
          </w:tcPr>
          <w:p w14:paraId="079B8689" w14:textId="07287224" w:rsidR="00400601" w:rsidRPr="00400601" w:rsidRDefault="00400601" w:rsidP="00400601">
            <w:pPr>
              <w:jc w:val="both"/>
              <w:rPr>
                <w:rFonts w:ascii="Calibri" w:hAnsi="Calibri" w:cs="Arial"/>
                <w:i/>
                <w:color w:val="548DD4"/>
                <w:sz w:val="16"/>
                <w:szCs w:val="16"/>
                <w:lang w:eastAsia="es-CL"/>
              </w:rPr>
            </w:pPr>
            <w:r w:rsidRPr="00400601">
              <w:rPr>
                <w:rFonts w:ascii="Calibri" w:hAnsi="Calibri" w:cs="Arial"/>
                <w:i/>
                <w:color w:val="548DD4"/>
                <w:sz w:val="16"/>
                <w:szCs w:val="16"/>
                <w:lang w:eastAsia="es-CL"/>
              </w:rPr>
              <w:t>Programación / Arquitectura / Calidad de Software</w:t>
            </w:r>
          </w:p>
        </w:tc>
        <w:tc>
          <w:tcPr>
            <w:tcW w:w="1580" w:type="dxa"/>
            <w:vAlign w:val="center"/>
          </w:tcPr>
          <w:p w14:paraId="7484E353" w14:textId="35AF8208" w:rsidR="00400601" w:rsidRPr="00400601" w:rsidRDefault="00400601" w:rsidP="00400601">
            <w:pPr>
              <w:jc w:val="both"/>
              <w:rPr>
                <w:rFonts w:ascii="Calibri" w:hAnsi="Calibri" w:cs="Arial"/>
                <w:i/>
                <w:color w:val="548DD4"/>
                <w:sz w:val="16"/>
                <w:szCs w:val="16"/>
                <w:lang w:eastAsia="es-CL"/>
              </w:rPr>
            </w:pPr>
            <w:r w:rsidRPr="00400601">
              <w:rPr>
                <w:rFonts w:ascii="Calibri" w:hAnsi="Calibri" w:cs="Arial"/>
                <w:i/>
                <w:color w:val="548DD4"/>
                <w:sz w:val="16"/>
                <w:szCs w:val="16"/>
                <w:lang w:eastAsia="es-CL"/>
              </w:rPr>
              <w:t>Diseño, desarrollo e integración ISO 42001</w:t>
            </w:r>
          </w:p>
        </w:tc>
        <w:tc>
          <w:tcPr>
            <w:tcW w:w="1580" w:type="dxa"/>
            <w:vAlign w:val="center"/>
          </w:tcPr>
          <w:p w14:paraId="2911D1C7" w14:textId="291C342A" w:rsidR="00400601" w:rsidRPr="00400601" w:rsidRDefault="00400601" w:rsidP="00400601">
            <w:pPr>
              <w:jc w:val="both"/>
              <w:rPr>
                <w:rFonts w:ascii="Calibri" w:hAnsi="Calibri" w:cs="Arial"/>
                <w:i/>
                <w:color w:val="548DD4"/>
                <w:sz w:val="16"/>
                <w:szCs w:val="16"/>
                <w:lang w:eastAsia="es-CL"/>
              </w:rPr>
            </w:pPr>
            <w:r w:rsidRPr="00400601">
              <w:rPr>
                <w:rFonts w:ascii="Calibri" w:hAnsi="Calibri" w:cs="Arial"/>
                <w:i/>
                <w:color w:val="548DD4"/>
                <w:sz w:val="16"/>
                <w:szCs w:val="16"/>
                <w:lang w:eastAsia="es-CL"/>
              </w:rPr>
              <w:t xml:space="preserve">Diseñar, desarrollar e integrar las funcionalidades de ISO 42001 sobre la plataforma existente, considerando los estándares transversales de </w:t>
            </w:r>
            <w:proofErr w:type="spellStart"/>
            <w:r w:rsidRPr="00400601">
              <w:rPr>
                <w:rFonts w:ascii="Calibri" w:hAnsi="Calibri" w:cs="Arial"/>
                <w:i/>
                <w:color w:val="548DD4"/>
                <w:sz w:val="16"/>
                <w:szCs w:val="16"/>
                <w:lang w:eastAsia="es-CL"/>
              </w:rPr>
              <w:t>Alloxentric</w:t>
            </w:r>
            <w:proofErr w:type="spellEnd"/>
            <w:r w:rsidRPr="00400601">
              <w:rPr>
                <w:rFonts w:ascii="Calibri" w:hAnsi="Calibri" w:cs="Arial"/>
                <w:i/>
                <w:color w:val="548DD4"/>
                <w:sz w:val="16"/>
                <w:szCs w:val="16"/>
                <w:lang w:eastAsia="es-CL"/>
              </w:rPr>
              <w:t>.</w:t>
            </w:r>
          </w:p>
        </w:tc>
        <w:tc>
          <w:tcPr>
            <w:tcW w:w="1580" w:type="dxa"/>
            <w:vAlign w:val="center"/>
          </w:tcPr>
          <w:p w14:paraId="2BA9850E" w14:textId="3A09FF22" w:rsidR="00400601" w:rsidRPr="00400601" w:rsidRDefault="00400601" w:rsidP="00400601">
            <w:pPr>
              <w:jc w:val="both"/>
              <w:rPr>
                <w:rFonts w:ascii="Calibri" w:hAnsi="Calibri" w:cs="Arial"/>
                <w:i/>
                <w:color w:val="548DD4"/>
                <w:sz w:val="16"/>
                <w:szCs w:val="16"/>
                <w:lang w:eastAsia="es-CL"/>
              </w:rPr>
            </w:pPr>
            <w:r w:rsidRPr="00400601">
              <w:rPr>
                <w:rFonts w:ascii="Calibri" w:hAnsi="Calibri" w:cs="Arial"/>
                <w:i/>
                <w:color w:val="548DD4"/>
                <w:sz w:val="16"/>
                <w:szCs w:val="16"/>
                <w:lang w:eastAsia="es-CL"/>
              </w:rPr>
              <w:t xml:space="preserve">Repositorio </w:t>
            </w:r>
            <w:proofErr w:type="spellStart"/>
            <w:r w:rsidRPr="00400601">
              <w:rPr>
                <w:rFonts w:ascii="Calibri" w:hAnsi="Calibri" w:cs="Arial"/>
                <w:i/>
                <w:color w:val="548DD4"/>
                <w:sz w:val="16"/>
                <w:szCs w:val="16"/>
                <w:lang w:eastAsia="es-CL"/>
              </w:rPr>
              <w:t>eth-sgsi</w:t>
            </w:r>
            <w:proofErr w:type="spellEnd"/>
            <w:r w:rsidRPr="00400601">
              <w:rPr>
                <w:rFonts w:ascii="Calibri" w:hAnsi="Calibri" w:cs="Arial"/>
                <w:i/>
                <w:color w:val="548DD4"/>
                <w:sz w:val="16"/>
                <w:szCs w:val="16"/>
                <w:lang w:eastAsia="es-CL"/>
              </w:rPr>
              <w:t>, entorno de desarrollo, Git/GitHub y componentes existentes.</w:t>
            </w:r>
          </w:p>
        </w:tc>
        <w:tc>
          <w:tcPr>
            <w:tcW w:w="1580" w:type="dxa"/>
            <w:tcBorders>
              <w:right w:val="single" w:sz="4" w:space="0" w:color="FFFFFF" w:themeColor="background1"/>
            </w:tcBorders>
            <w:vAlign w:val="center"/>
          </w:tcPr>
          <w:p w14:paraId="216221AF" w14:textId="2C8D86F5" w:rsidR="00400601" w:rsidRPr="00400601" w:rsidRDefault="00400601" w:rsidP="00400601">
            <w:pPr>
              <w:jc w:val="both"/>
              <w:rPr>
                <w:rFonts w:ascii="Calibri" w:hAnsi="Calibri" w:cs="Arial"/>
                <w:i/>
                <w:color w:val="548DD4"/>
                <w:sz w:val="16"/>
                <w:szCs w:val="16"/>
                <w:lang w:eastAsia="es-CL"/>
              </w:rPr>
            </w:pPr>
            <w:r w:rsidRPr="00400601">
              <w:rPr>
                <w:rFonts w:ascii="Calibri" w:hAnsi="Calibri" w:cs="Arial"/>
                <w:i/>
                <w:color w:val="548DD4"/>
                <w:sz w:val="16"/>
                <w:szCs w:val="16"/>
                <w:lang w:eastAsia="es-CL"/>
              </w:rPr>
              <w:t>Fase 2</w:t>
            </w:r>
          </w:p>
        </w:tc>
        <w:tc>
          <w:tcPr>
            <w:tcW w:w="1580" w:type="dxa"/>
            <w:tcBorders>
              <w:left w:val="single" w:sz="4" w:space="0" w:color="FFFFFF" w:themeColor="background1"/>
            </w:tcBorders>
            <w:shd w:val="clear" w:color="auto" w:fill="D9D9D9" w:themeFill="background1" w:themeFillShade="D9"/>
            <w:vAlign w:val="center"/>
          </w:tcPr>
          <w:p w14:paraId="4CB307DF" w14:textId="4EF66067" w:rsidR="00400601" w:rsidRPr="00400601" w:rsidRDefault="00400601" w:rsidP="00400601">
            <w:pPr>
              <w:jc w:val="both"/>
              <w:rPr>
                <w:rFonts w:ascii="Calibri" w:hAnsi="Calibri" w:cs="Arial"/>
                <w:i/>
                <w:color w:val="548DD4"/>
                <w:sz w:val="16"/>
                <w:szCs w:val="16"/>
                <w:lang w:eastAsia="es-CL"/>
              </w:rPr>
            </w:pPr>
            <w:r w:rsidRPr="00400601">
              <w:rPr>
                <w:rFonts w:ascii="Calibri" w:hAnsi="Calibri" w:cs="Arial"/>
                <w:i/>
                <w:color w:val="548DD4"/>
                <w:sz w:val="16"/>
                <w:szCs w:val="16"/>
                <w:lang w:eastAsia="es-CL"/>
              </w:rPr>
              <w:t xml:space="preserve">Vicente Suazo </w:t>
            </w:r>
            <w:r w:rsidRPr="00400601">
              <w:rPr>
                <w:rFonts w:ascii="Calibri" w:hAnsi="Calibri" w:cs="Arial"/>
                <w:i/>
                <w:color w:val="548DD4"/>
                <w:sz w:val="16"/>
                <w:szCs w:val="16"/>
                <w:lang w:eastAsia="es-CL"/>
              </w:rPr>
              <w:t>y Andrea Santana</w:t>
            </w:r>
          </w:p>
        </w:tc>
        <w:tc>
          <w:tcPr>
            <w:tcW w:w="1581" w:type="dxa"/>
            <w:vAlign w:val="center"/>
          </w:tcPr>
          <w:p w14:paraId="0B41D2ED" w14:textId="4470461F" w:rsidR="00400601" w:rsidRPr="00400601" w:rsidRDefault="00400601" w:rsidP="00400601">
            <w:pPr>
              <w:jc w:val="both"/>
              <w:rPr>
                <w:rFonts w:ascii="Calibri" w:hAnsi="Calibri" w:cs="Arial"/>
                <w:i/>
                <w:color w:val="548DD4"/>
                <w:sz w:val="16"/>
                <w:szCs w:val="16"/>
                <w:lang w:eastAsia="es-CL"/>
              </w:rPr>
            </w:pPr>
            <w:r w:rsidRPr="00400601">
              <w:rPr>
                <w:rFonts w:ascii="Calibri" w:hAnsi="Calibri" w:cs="Arial"/>
                <w:i/>
                <w:color w:val="548DD4"/>
                <w:sz w:val="16"/>
                <w:szCs w:val="16"/>
                <w:lang w:eastAsia="es-CL"/>
              </w:rPr>
              <w:t>Desarrollo incremental con revisión semanal.</w:t>
            </w:r>
          </w:p>
        </w:tc>
      </w:tr>
      <w:tr w:rsidR="00400601" w:rsidRPr="00400601" w14:paraId="50E58212" w14:textId="77777777" w:rsidTr="00E95AAD">
        <w:trPr>
          <w:jc w:val="center"/>
        </w:trPr>
        <w:tc>
          <w:tcPr>
            <w:tcW w:w="1580" w:type="dxa"/>
            <w:vAlign w:val="center"/>
          </w:tcPr>
          <w:p w14:paraId="41E1A68E" w14:textId="223EE709" w:rsidR="00400601" w:rsidRPr="00400601" w:rsidRDefault="00400601" w:rsidP="00400601">
            <w:pPr>
              <w:jc w:val="both"/>
              <w:rPr>
                <w:rFonts w:ascii="Calibri" w:hAnsi="Calibri" w:cs="Arial"/>
                <w:i/>
                <w:color w:val="548DD4"/>
                <w:sz w:val="16"/>
                <w:szCs w:val="16"/>
                <w:lang w:eastAsia="es-CL"/>
              </w:rPr>
            </w:pPr>
            <w:r w:rsidRPr="00400601">
              <w:rPr>
                <w:rFonts w:ascii="Calibri" w:hAnsi="Calibri" w:cs="Arial"/>
                <w:i/>
                <w:color w:val="548DD4"/>
                <w:sz w:val="16"/>
                <w:szCs w:val="16"/>
                <w:lang w:eastAsia="es-CL"/>
              </w:rPr>
              <w:t>Calidad de Software / Gestión de Proyectos</w:t>
            </w:r>
          </w:p>
        </w:tc>
        <w:tc>
          <w:tcPr>
            <w:tcW w:w="1580" w:type="dxa"/>
            <w:vAlign w:val="center"/>
          </w:tcPr>
          <w:p w14:paraId="08BF7353" w14:textId="6231FA97" w:rsidR="00400601" w:rsidRPr="00400601" w:rsidRDefault="00400601" w:rsidP="00400601">
            <w:pPr>
              <w:jc w:val="both"/>
              <w:rPr>
                <w:rFonts w:ascii="Calibri" w:hAnsi="Calibri" w:cs="Arial"/>
                <w:i/>
                <w:color w:val="548DD4"/>
                <w:sz w:val="16"/>
                <w:szCs w:val="16"/>
                <w:lang w:eastAsia="es-CL"/>
              </w:rPr>
            </w:pPr>
            <w:r w:rsidRPr="00400601">
              <w:rPr>
                <w:rFonts w:ascii="Calibri" w:hAnsi="Calibri" w:cs="Arial"/>
                <w:i/>
                <w:color w:val="548DD4"/>
                <w:sz w:val="16"/>
                <w:szCs w:val="16"/>
                <w:lang w:eastAsia="es-CL"/>
              </w:rPr>
              <w:t>Pruebas, validación y cierre</w:t>
            </w:r>
          </w:p>
        </w:tc>
        <w:tc>
          <w:tcPr>
            <w:tcW w:w="1580" w:type="dxa"/>
            <w:vAlign w:val="center"/>
          </w:tcPr>
          <w:p w14:paraId="33B7F38C" w14:textId="32676725" w:rsidR="00400601" w:rsidRPr="00400601" w:rsidRDefault="00400601" w:rsidP="00400601">
            <w:pPr>
              <w:jc w:val="both"/>
              <w:rPr>
                <w:rFonts w:ascii="Calibri" w:hAnsi="Calibri" w:cs="Arial"/>
                <w:i/>
                <w:color w:val="548DD4"/>
                <w:sz w:val="16"/>
                <w:szCs w:val="16"/>
                <w:lang w:eastAsia="es-CL"/>
              </w:rPr>
            </w:pPr>
            <w:r w:rsidRPr="00400601">
              <w:rPr>
                <w:rFonts w:ascii="Calibri" w:hAnsi="Calibri" w:cs="Arial"/>
                <w:i/>
                <w:color w:val="548DD4"/>
                <w:sz w:val="16"/>
                <w:szCs w:val="16"/>
                <w:lang w:eastAsia="es-CL"/>
              </w:rPr>
              <w:t>Ejecutar pruebas funcionales y de integración, corregir hallazgos, recopilar evidencias y preparar la entrega final.</w:t>
            </w:r>
          </w:p>
        </w:tc>
        <w:tc>
          <w:tcPr>
            <w:tcW w:w="1580" w:type="dxa"/>
            <w:vAlign w:val="center"/>
          </w:tcPr>
          <w:p w14:paraId="330704C5" w14:textId="43ECCCAF" w:rsidR="00400601" w:rsidRPr="00400601" w:rsidRDefault="00400601" w:rsidP="00400601">
            <w:pPr>
              <w:jc w:val="both"/>
              <w:rPr>
                <w:rFonts w:ascii="Calibri" w:hAnsi="Calibri" w:cs="Arial"/>
                <w:i/>
                <w:color w:val="548DD4"/>
                <w:sz w:val="16"/>
                <w:szCs w:val="16"/>
                <w:lang w:eastAsia="es-CL"/>
              </w:rPr>
            </w:pPr>
            <w:r w:rsidRPr="00400601">
              <w:rPr>
                <w:rFonts w:ascii="Calibri" w:hAnsi="Calibri" w:cs="Arial"/>
                <w:i/>
                <w:color w:val="548DD4"/>
                <w:sz w:val="16"/>
                <w:szCs w:val="16"/>
                <w:lang w:eastAsia="es-CL"/>
              </w:rPr>
              <w:t>Entorno de pruebas, repositorio, casos de prueba y evidencias.</w:t>
            </w:r>
          </w:p>
        </w:tc>
        <w:tc>
          <w:tcPr>
            <w:tcW w:w="1580" w:type="dxa"/>
            <w:tcBorders>
              <w:right w:val="single" w:sz="4" w:space="0" w:color="FFFFFF" w:themeColor="background1"/>
            </w:tcBorders>
            <w:vAlign w:val="center"/>
          </w:tcPr>
          <w:p w14:paraId="2F4EDB46" w14:textId="6E753209" w:rsidR="00400601" w:rsidRPr="00400601" w:rsidRDefault="00400601" w:rsidP="00400601">
            <w:pPr>
              <w:jc w:val="both"/>
              <w:rPr>
                <w:rFonts w:ascii="Calibri" w:hAnsi="Calibri" w:cs="Arial"/>
                <w:i/>
                <w:color w:val="548DD4"/>
                <w:sz w:val="16"/>
                <w:szCs w:val="16"/>
                <w:lang w:eastAsia="es-CL"/>
              </w:rPr>
            </w:pPr>
            <w:r w:rsidRPr="00400601">
              <w:rPr>
                <w:rFonts w:ascii="Calibri" w:hAnsi="Calibri" w:cs="Arial"/>
                <w:i/>
                <w:color w:val="548DD4"/>
                <w:sz w:val="16"/>
                <w:szCs w:val="16"/>
                <w:lang w:eastAsia="es-CL"/>
              </w:rPr>
              <w:t>Fase 3</w:t>
            </w:r>
          </w:p>
        </w:tc>
        <w:tc>
          <w:tcPr>
            <w:tcW w:w="1580" w:type="dxa"/>
            <w:tcBorders>
              <w:left w:val="single" w:sz="4" w:space="0" w:color="FFFFFF" w:themeColor="background1"/>
            </w:tcBorders>
            <w:shd w:val="clear" w:color="auto" w:fill="D9D9D9" w:themeFill="background1" w:themeFillShade="D9"/>
            <w:vAlign w:val="center"/>
          </w:tcPr>
          <w:p w14:paraId="7F3EE0DF" w14:textId="29E3CD67" w:rsidR="00400601" w:rsidRPr="00400601" w:rsidRDefault="00400601" w:rsidP="00400601">
            <w:pPr>
              <w:jc w:val="both"/>
              <w:rPr>
                <w:rFonts w:ascii="Calibri" w:hAnsi="Calibri" w:cs="Arial"/>
                <w:i/>
                <w:color w:val="548DD4"/>
                <w:sz w:val="16"/>
                <w:szCs w:val="16"/>
                <w:lang w:eastAsia="es-CL"/>
              </w:rPr>
            </w:pPr>
            <w:r w:rsidRPr="00400601">
              <w:rPr>
                <w:rFonts w:ascii="Calibri" w:hAnsi="Calibri" w:cs="Arial"/>
                <w:i/>
                <w:color w:val="548DD4"/>
                <w:sz w:val="16"/>
                <w:szCs w:val="16"/>
                <w:lang w:eastAsia="es-CL"/>
              </w:rPr>
              <w:t xml:space="preserve">Vicente Suazo </w:t>
            </w:r>
            <w:r w:rsidRPr="00400601">
              <w:rPr>
                <w:rFonts w:ascii="Calibri" w:hAnsi="Calibri" w:cs="Arial"/>
                <w:i/>
                <w:color w:val="548DD4"/>
                <w:sz w:val="16"/>
                <w:szCs w:val="16"/>
                <w:lang w:eastAsia="es-CL"/>
              </w:rPr>
              <w:t>y Andrea Santana</w:t>
            </w:r>
          </w:p>
        </w:tc>
        <w:tc>
          <w:tcPr>
            <w:tcW w:w="1581" w:type="dxa"/>
            <w:vAlign w:val="center"/>
          </w:tcPr>
          <w:p w14:paraId="2A45C00D" w14:textId="198E835A" w:rsidR="00400601" w:rsidRPr="00400601" w:rsidRDefault="00400601" w:rsidP="00400601">
            <w:pPr>
              <w:jc w:val="both"/>
              <w:rPr>
                <w:rFonts w:ascii="Calibri" w:hAnsi="Calibri" w:cs="Arial"/>
                <w:i/>
                <w:color w:val="548DD4"/>
                <w:sz w:val="16"/>
                <w:szCs w:val="16"/>
                <w:lang w:eastAsia="es-CL"/>
              </w:rPr>
            </w:pPr>
            <w:r w:rsidRPr="00400601">
              <w:rPr>
                <w:rFonts w:ascii="Calibri" w:hAnsi="Calibri" w:cs="Arial"/>
                <w:i/>
                <w:color w:val="548DD4"/>
                <w:sz w:val="16"/>
                <w:szCs w:val="16"/>
                <w:lang w:eastAsia="es-CL"/>
              </w:rPr>
              <w:t>Verificar la integración de ISO 42001 y continuidad de ISO 27001.</w:t>
            </w:r>
          </w:p>
        </w:tc>
      </w:tr>
    </w:tbl>
    <w:p w14:paraId="0FBBD418" w14:textId="77777777" w:rsidR="00D110EC" w:rsidRDefault="00D110EC" w:rsidP="00D110EC">
      <w:pPr>
        <w:spacing w:after="0" w:line="360" w:lineRule="auto"/>
        <w:jc w:val="both"/>
        <w:rPr>
          <w:b/>
          <w:sz w:val="24"/>
          <w:szCs w:val="24"/>
        </w:rPr>
      </w:pPr>
    </w:p>
    <w:p w14:paraId="4430F8B9" w14:textId="77777777" w:rsidR="00400601" w:rsidRDefault="00400601" w:rsidP="00D110EC">
      <w:pPr>
        <w:spacing w:after="0" w:line="360" w:lineRule="auto"/>
        <w:jc w:val="both"/>
        <w:rPr>
          <w:b/>
          <w:sz w:val="24"/>
          <w:szCs w:val="24"/>
        </w:rPr>
      </w:pPr>
    </w:p>
    <w:p w14:paraId="3876598A" w14:textId="77777777" w:rsidR="00400601" w:rsidRDefault="00400601" w:rsidP="00D110EC">
      <w:pPr>
        <w:spacing w:after="0" w:line="360" w:lineRule="auto"/>
        <w:jc w:val="both"/>
        <w:rPr>
          <w:b/>
          <w:sz w:val="24"/>
          <w:szCs w:val="24"/>
        </w:rPr>
      </w:pPr>
    </w:p>
    <w:p w14:paraId="0C8C6850" w14:textId="77777777" w:rsidR="00400601" w:rsidRDefault="00400601"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72"/>
        <w:gridCol w:w="534"/>
        <w:gridCol w:w="520"/>
        <w:gridCol w:w="521"/>
        <w:gridCol w:w="525"/>
        <w:gridCol w:w="522"/>
        <w:gridCol w:w="522"/>
        <w:gridCol w:w="522"/>
        <w:gridCol w:w="522"/>
        <w:gridCol w:w="522"/>
        <w:gridCol w:w="522"/>
        <w:gridCol w:w="522"/>
        <w:gridCol w:w="522"/>
        <w:gridCol w:w="524"/>
        <w:gridCol w:w="524"/>
        <w:gridCol w:w="524"/>
        <w:gridCol w:w="7"/>
        <w:gridCol w:w="517"/>
        <w:gridCol w:w="524"/>
        <w:gridCol w:w="524"/>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CE5AF0" w14:paraId="27BED54C" w14:textId="77777777" w:rsidTr="0034246B">
        <w:trPr>
          <w:gridAfter w:val="1"/>
          <w:wAfter w:w="10" w:type="dxa"/>
          <w:trHeight w:val="294"/>
        </w:trPr>
        <w:tc>
          <w:tcPr>
            <w:tcW w:w="1351" w:type="dxa"/>
            <w:vAlign w:val="center"/>
            <w:hideMark/>
          </w:tcPr>
          <w:p w14:paraId="5292DF6F" w14:textId="4DC00EF5" w:rsidR="00CE5AF0" w:rsidRDefault="00CE5AF0" w:rsidP="00CE5AF0">
            <w:pPr>
              <w:spacing w:line="360" w:lineRule="auto"/>
              <w:jc w:val="both"/>
              <w:rPr>
                <w:b/>
                <w:sz w:val="16"/>
                <w:szCs w:val="16"/>
              </w:rPr>
            </w:pPr>
            <w:r>
              <w:rPr>
                <w:rFonts w:ascii="Calibri" w:hAnsi="Calibri" w:cs="Calibri"/>
                <w:color w:val="000000"/>
                <w:sz w:val="18"/>
                <w:szCs w:val="18"/>
              </w:rPr>
              <w:t>Análisis de plataforma, alcance y requerimientos ISO 42001</w:t>
            </w:r>
          </w:p>
        </w:tc>
        <w:tc>
          <w:tcPr>
            <w:tcW w:w="536" w:type="dxa"/>
            <w:vAlign w:val="center"/>
          </w:tcPr>
          <w:p w14:paraId="6792745F" w14:textId="5C0AAC63" w:rsidR="00CE5AF0" w:rsidRDefault="00CE5AF0" w:rsidP="00CE5AF0">
            <w:pPr>
              <w:spacing w:line="360" w:lineRule="auto"/>
              <w:jc w:val="both"/>
              <w:rPr>
                <w:b/>
                <w:sz w:val="16"/>
                <w:szCs w:val="16"/>
              </w:rPr>
            </w:pPr>
            <w:r>
              <w:rPr>
                <w:rFonts w:ascii="Calibri" w:hAnsi="Calibri" w:cs="Calibri"/>
                <w:color w:val="000000"/>
                <w:sz w:val="18"/>
                <w:szCs w:val="18"/>
              </w:rPr>
              <w:t>X</w:t>
            </w:r>
          </w:p>
        </w:tc>
        <w:tc>
          <w:tcPr>
            <w:tcW w:w="522" w:type="dxa"/>
            <w:vAlign w:val="center"/>
          </w:tcPr>
          <w:p w14:paraId="7887528D" w14:textId="20843493" w:rsidR="00CE5AF0" w:rsidRDefault="00CE5AF0" w:rsidP="00CE5AF0">
            <w:pPr>
              <w:spacing w:line="360" w:lineRule="auto"/>
              <w:jc w:val="both"/>
              <w:rPr>
                <w:b/>
                <w:sz w:val="16"/>
                <w:szCs w:val="16"/>
              </w:rPr>
            </w:pPr>
            <w:r>
              <w:rPr>
                <w:rFonts w:ascii="Calibri" w:hAnsi="Calibri" w:cs="Calibri"/>
                <w:color w:val="000000"/>
                <w:sz w:val="18"/>
                <w:szCs w:val="18"/>
              </w:rPr>
              <w:t>X</w:t>
            </w:r>
          </w:p>
        </w:tc>
        <w:tc>
          <w:tcPr>
            <w:tcW w:w="523" w:type="dxa"/>
            <w:vAlign w:val="center"/>
          </w:tcPr>
          <w:p w14:paraId="7A76D697" w14:textId="0AE1A061" w:rsidR="00CE5AF0" w:rsidRDefault="00CE5AF0" w:rsidP="00CE5AF0">
            <w:pPr>
              <w:spacing w:line="360" w:lineRule="auto"/>
              <w:jc w:val="both"/>
              <w:rPr>
                <w:b/>
                <w:sz w:val="16"/>
                <w:szCs w:val="16"/>
              </w:rPr>
            </w:pPr>
            <w:r>
              <w:rPr>
                <w:rFonts w:ascii="Calibri" w:hAnsi="Calibri" w:cs="Calibri"/>
                <w:color w:val="000000"/>
                <w:sz w:val="18"/>
                <w:szCs w:val="18"/>
              </w:rPr>
              <w:t>X</w:t>
            </w:r>
          </w:p>
        </w:tc>
        <w:tc>
          <w:tcPr>
            <w:tcW w:w="526" w:type="dxa"/>
            <w:vAlign w:val="center"/>
          </w:tcPr>
          <w:p w14:paraId="3C136A4C" w14:textId="0CD26CD4" w:rsidR="00CE5AF0" w:rsidRDefault="00CE5AF0" w:rsidP="00CE5AF0">
            <w:pPr>
              <w:spacing w:line="360" w:lineRule="auto"/>
              <w:jc w:val="both"/>
              <w:rPr>
                <w:b/>
                <w:sz w:val="16"/>
                <w:szCs w:val="16"/>
              </w:rPr>
            </w:pPr>
            <w:r>
              <w:rPr>
                <w:rFonts w:ascii="Calibri" w:hAnsi="Calibri" w:cs="Calibri"/>
                <w:color w:val="000000"/>
                <w:sz w:val="18"/>
                <w:szCs w:val="18"/>
              </w:rPr>
              <w:t>X</w:t>
            </w:r>
          </w:p>
        </w:tc>
        <w:tc>
          <w:tcPr>
            <w:tcW w:w="523" w:type="dxa"/>
            <w:vAlign w:val="center"/>
          </w:tcPr>
          <w:p w14:paraId="4FE1C0CC" w14:textId="77777777" w:rsidR="00CE5AF0" w:rsidRDefault="00CE5AF0" w:rsidP="00CE5AF0">
            <w:pPr>
              <w:spacing w:line="360" w:lineRule="auto"/>
              <w:jc w:val="both"/>
              <w:rPr>
                <w:b/>
                <w:sz w:val="16"/>
                <w:szCs w:val="16"/>
              </w:rPr>
            </w:pPr>
          </w:p>
        </w:tc>
        <w:tc>
          <w:tcPr>
            <w:tcW w:w="523" w:type="dxa"/>
            <w:vAlign w:val="center"/>
          </w:tcPr>
          <w:p w14:paraId="22AE2E20" w14:textId="77777777" w:rsidR="00CE5AF0" w:rsidRDefault="00CE5AF0" w:rsidP="00CE5AF0">
            <w:pPr>
              <w:spacing w:line="360" w:lineRule="auto"/>
              <w:jc w:val="both"/>
              <w:rPr>
                <w:b/>
                <w:sz w:val="16"/>
                <w:szCs w:val="16"/>
              </w:rPr>
            </w:pPr>
          </w:p>
        </w:tc>
        <w:tc>
          <w:tcPr>
            <w:tcW w:w="523" w:type="dxa"/>
            <w:vAlign w:val="center"/>
          </w:tcPr>
          <w:p w14:paraId="0F2C3734" w14:textId="77777777" w:rsidR="00CE5AF0" w:rsidRDefault="00CE5AF0" w:rsidP="00CE5AF0">
            <w:pPr>
              <w:spacing w:line="360" w:lineRule="auto"/>
              <w:jc w:val="both"/>
              <w:rPr>
                <w:b/>
                <w:sz w:val="16"/>
                <w:szCs w:val="16"/>
              </w:rPr>
            </w:pPr>
          </w:p>
        </w:tc>
        <w:tc>
          <w:tcPr>
            <w:tcW w:w="523" w:type="dxa"/>
            <w:vAlign w:val="center"/>
          </w:tcPr>
          <w:p w14:paraId="2E4E747F" w14:textId="77777777" w:rsidR="00CE5AF0" w:rsidRDefault="00CE5AF0" w:rsidP="00CE5AF0">
            <w:pPr>
              <w:spacing w:line="360" w:lineRule="auto"/>
              <w:jc w:val="both"/>
              <w:rPr>
                <w:b/>
                <w:sz w:val="16"/>
                <w:szCs w:val="16"/>
              </w:rPr>
            </w:pPr>
          </w:p>
        </w:tc>
        <w:tc>
          <w:tcPr>
            <w:tcW w:w="523" w:type="dxa"/>
            <w:vAlign w:val="center"/>
          </w:tcPr>
          <w:p w14:paraId="12D8053B" w14:textId="77777777" w:rsidR="00CE5AF0" w:rsidRDefault="00CE5AF0" w:rsidP="00CE5AF0">
            <w:pPr>
              <w:spacing w:line="360" w:lineRule="auto"/>
              <w:jc w:val="both"/>
              <w:rPr>
                <w:b/>
                <w:sz w:val="16"/>
                <w:szCs w:val="16"/>
              </w:rPr>
            </w:pPr>
          </w:p>
        </w:tc>
        <w:tc>
          <w:tcPr>
            <w:tcW w:w="523" w:type="dxa"/>
            <w:vAlign w:val="center"/>
          </w:tcPr>
          <w:p w14:paraId="044D5ACA" w14:textId="77777777" w:rsidR="00CE5AF0" w:rsidRDefault="00CE5AF0" w:rsidP="00CE5AF0">
            <w:pPr>
              <w:spacing w:line="360" w:lineRule="auto"/>
              <w:jc w:val="both"/>
              <w:rPr>
                <w:b/>
                <w:sz w:val="16"/>
                <w:szCs w:val="16"/>
              </w:rPr>
            </w:pPr>
          </w:p>
        </w:tc>
        <w:tc>
          <w:tcPr>
            <w:tcW w:w="523" w:type="dxa"/>
            <w:vAlign w:val="center"/>
          </w:tcPr>
          <w:p w14:paraId="26A0AD42" w14:textId="77777777" w:rsidR="00CE5AF0" w:rsidRDefault="00CE5AF0" w:rsidP="00CE5AF0">
            <w:pPr>
              <w:spacing w:line="360" w:lineRule="auto"/>
              <w:jc w:val="both"/>
              <w:rPr>
                <w:b/>
                <w:sz w:val="16"/>
                <w:szCs w:val="16"/>
              </w:rPr>
            </w:pPr>
          </w:p>
        </w:tc>
        <w:tc>
          <w:tcPr>
            <w:tcW w:w="523" w:type="dxa"/>
            <w:vAlign w:val="center"/>
          </w:tcPr>
          <w:p w14:paraId="7D238774" w14:textId="77777777" w:rsidR="00CE5AF0" w:rsidRDefault="00CE5AF0" w:rsidP="00CE5AF0">
            <w:pPr>
              <w:spacing w:line="360" w:lineRule="auto"/>
              <w:jc w:val="both"/>
              <w:rPr>
                <w:b/>
                <w:sz w:val="16"/>
                <w:szCs w:val="16"/>
              </w:rPr>
            </w:pPr>
          </w:p>
        </w:tc>
        <w:tc>
          <w:tcPr>
            <w:tcW w:w="525" w:type="dxa"/>
            <w:vAlign w:val="center"/>
          </w:tcPr>
          <w:p w14:paraId="57105C1C" w14:textId="77777777" w:rsidR="00CE5AF0" w:rsidRDefault="00CE5AF0" w:rsidP="00CE5AF0">
            <w:pPr>
              <w:spacing w:line="360" w:lineRule="auto"/>
              <w:jc w:val="both"/>
              <w:rPr>
                <w:b/>
                <w:sz w:val="16"/>
                <w:szCs w:val="16"/>
              </w:rPr>
            </w:pPr>
          </w:p>
        </w:tc>
        <w:tc>
          <w:tcPr>
            <w:tcW w:w="525" w:type="dxa"/>
            <w:vAlign w:val="center"/>
          </w:tcPr>
          <w:p w14:paraId="29AA7876" w14:textId="77777777" w:rsidR="00CE5AF0" w:rsidRDefault="00CE5AF0" w:rsidP="00CE5AF0">
            <w:pPr>
              <w:spacing w:line="360" w:lineRule="auto"/>
              <w:jc w:val="both"/>
              <w:rPr>
                <w:b/>
                <w:sz w:val="16"/>
                <w:szCs w:val="16"/>
              </w:rPr>
            </w:pPr>
          </w:p>
        </w:tc>
        <w:tc>
          <w:tcPr>
            <w:tcW w:w="525" w:type="dxa"/>
            <w:vAlign w:val="center"/>
          </w:tcPr>
          <w:p w14:paraId="0BDC1BFD" w14:textId="77777777" w:rsidR="00CE5AF0" w:rsidRDefault="00CE5AF0" w:rsidP="00CE5AF0">
            <w:pPr>
              <w:spacing w:line="360" w:lineRule="auto"/>
              <w:jc w:val="both"/>
              <w:rPr>
                <w:b/>
                <w:sz w:val="16"/>
                <w:szCs w:val="16"/>
              </w:rPr>
            </w:pPr>
          </w:p>
        </w:tc>
        <w:tc>
          <w:tcPr>
            <w:tcW w:w="525" w:type="dxa"/>
            <w:gridSpan w:val="2"/>
            <w:vAlign w:val="center"/>
          </w:tcPr>
          <w:p w14:paraId="162A7993" w14:textId="77777777" w:rsidR="00CE5AF0" w:rsidRDefault="00CE5AF0" w:rsidP="00CE5AF0">
            <w:pPr>
              <w:spacing w:line="360" w:lineRule="auto"/>
              <w:jc w:val="both"/>
              <w:rPr>
                <w:b/>
                <w:sz w:val="16"/>
                <w:szCs w:val="16"/>
              </w:rPr>
            </w:pPr>
          </w:p>
        </w:tc>
        <w:tc>
          <w:tcPr>
            <w:tcW w:w="525" w:type="dxa"/>
            <w:vAlign w:val="center"/>
          </w:tcPr>
          <w:p w14:paraId="7686CCDF" w14:textId="77777777" w:rsidR="00CE5AF0" w:rsidRDefault="00CE5AF0" w:rsidP="00CE5AF0">
            <w:pPr>
              <w:spacing w:line="360" w:lineRule="auto"/>
              <w:jc w:val="both"/>
              <w:rPr>
                <w:b/>
                <w:sz w:val="16"/>
                <w:szCs w:val="16"/>
              </w:rPr>
            </w:pPr>
          </w:p>
        </w:tc>
        <w:tc>
          <w:tcPr>
            <w:tcW w:w="525" w:type="dxa"/>
            <w:vAlign w:val="center"/>
          </w:tcPr>
          <w:p w14:paraId="2C6E8A5D" w14:textId="77777777" w:rsidR="00CE5AF0" w:rsidRDefault="00CE5AF0" w:rsidP="00CE5AF0">
            <w:pPr>
              <w:spacing w:line="360" w:lineRule="auto"/>
              <w:jc w:val="both"/>
              <w:rPr>
                <w:b/>
                <w:sz w:val="16"/>
                <w:szCs w:val="16"/>
              </w:rPr>
            </w:pPr>
          </w:p>
        </w:tc>
      </w:tr>
      <w:tr w:rsidR="00CE5AF0" w14:paraId="53B6C8F1" w14:textId="77777777" w:rsidTr="0034246B">
        <w:trPr>
          <w:gridAfter w:val="1"/>
          <w:wAfter w:w="10" w:type="dxa"/>
          <w:trHeight w:val="303"/>
        </w:trPr>
        <w:tc>
          <w:tcPr>
            <w:tcW w:w="1351" w:type="dxa"/>
            <w:vAlign w:val="center"/>
          </w:tcPr>
          <w:p w14:paraId="5F099156" w14:textId="7FA5AE58" w:rsidR="00CE5AF0" w:rsidRDefault="00CE5AF0" w:rsidP="00CE5AF0">
            <w:pPr>
              <w:spacing w:line="360" w:lineRule="auto"/>
              <w:jc w:val="both"/>
              <w:rPr>
                <w:b/>
                <w:sz w:val="16"/>
                <w:szCs w:val="16"/>
              </w:rPr>
            </w:pPr>
            <w:r>
              <w:rPr>
                <w:rFonts w:ascii="Calibri" w:hAnsi="Calibri" w:cs="Calibri"/>
                <w:color w:val="000000"/>
                <w:sz w:val="18"/>
                <w:szCs w:val="18"/>
              </w:rPr>
              <w:t>Diseño, desarrollo e integración de funcionalidades ISO 42001</w:t>
            </w:r>
          </w:p>
        </w:tc>
        <w:tc>
          <w:tcPr>
            <w:tcW w:w="536" w:type="dxa"/>
            <w:vAlign w:val="center"/>
          </w:tcPr>
          <w:p w14:paraId="0D196A16" w14:textId="77777777" w:rsidR="00CE5AF0" w:rsidRDefault="00CE5AF0" w:rsidP="00CE5AF0">
            <w:pPr>
              <w:spacing w:line="360" w:lineRule="auto"/>
              <w:jc w:val="both"/>
              <w:rPr>
                <w:b/>
                <w:sz w:val="16"/>
                <w:szCs w:val="16"/>
              </w:rPr>
            </w:pPr>
          </w:p>
        </w:tc>
        <w:tc>
          <w:tcPr>
            <w:tcW w:w="522" w:type="dxa"/>
            <w:vAlign w:val="center"/>
          </w:tcPr>
          <w:p w14:paraId="2307794E" w14:textId="77777777" w:rsidR="00CE5AF0" w:rsidRDefault="00CE5AF0" w:rsidP="00CE5AF0">
            <w:pPr>
              <w:spacing w:line="360" w:lineRule="auto"/>
              <w:jc w:val="both"/>
              <w:rPr>
                <w:b/>
                <w:sz w:val="16"/>
                <w:szCs w:val="16"/>
              </w:rPr>
            </w:pPr>
          </w:p>
        </w:tc>
        <w:tc>
          <w:tcPr>
            <w:tcW w:w="523" w:type="dxa"/>
            <w:vAlign w:val="center"/>
          </w:tcPr>
          <w:p w14:paraId="70C5585C" w14:textId="77777777" w:rsidR="00CE5AF0" w:rsidRDefault="00CE5AF0" w:rsidP="00CE5AF0">
            <w:pPr>
              <w:spacing w:line="360" w:lineRule="auto"/>
              <w:jc w:val="both"/>
              <w:rPr>
                <w:b/>
                <w:sz w:val="16"/>
                <w:szCs w:val="16"/>
              </w:rPr>
            </w:pPr>
          </w:p>
        </w:tc>
        <w:tc>
          <w:tcPr>
            <w:tcW w:w="526" w:type="dxa"/>
            <w:vAlign w:val="center"/>
          </w:tcPr>
          <w:p w14:paraId="5DDBB602" w14:textId="77777777" w:rsidR="00CE5AF0" w:rsidRDefault="00CE5AF0" w:rsidP="00CE5AF0">
            <w:pPr>
              <w:spacing w:line="360" w:lineRule="auto"/>
              <w:jc w:val="both"/>
              <w:rPr>
                <w:b/>
                <w:sz w:val="16"/>
                <w:szCs w:val="16"/>
              </w:rPr>
            </w:pPr>
          </w:p>
        </w:tc>
        <w:tc>
          <w:tcPr>
            <w:tcW w:w="523" w:type="dxa"/>
            <w:vAlign w:val="center"/>
          </w:tcPr>
          <w:p w14:paraId="50E25CD7" w14:textId="121E620E" w:rsidR="00CE5AF0" w:rsidRDefault="00CE5AF0" w:rsidP="00CE5AF0">
            <w:pPr>
              <w:spacing w:line="360" w:lineRule="auto"/>
              <w:jc w:val="both"/>
              <w:rPr>
                <w:b/>
                <w:sz w:val="16"/>
                <w:szCs w:val="16"/>
              </w:rPr>
            </w:pPr>
            <w:r>
              <w:rPr>
                <w:rFonts w:ascii="Calibri" w:hAnsi="Calibri" w:cs="Calibri"/>
                <w:color w:val="000000"/>
                <w:sz w:val="18"/>
                <w:szCs w:val="18"/>
              </w:rPr>
              <w:t>X</w:t>
            </w:r>
          </w:p>
        </w:tc>
        <w:tc>
          <w:tcPr>
            <w:tcW w:w="523" w:type="dxa"/>
            <w:vAlign w:val="center"/>
          </w:tcPr>
          <w:p w14:paraId="17109673" w14:textId="32A45EC5" w:rsidR="00CE5AF0" w:rsidRDefault="00CE5AF0" w:rsidP="00CE5AF0">
            <w:pPr>
              <w:spacing w:line="360" w:lineRule="auto"/>
              <w:jc w:val="both"/>
              <w:rPr>
                <w:b/>
                <w:sz w:val="16"/>
                <w:szCs w:val="16"/>
              </w:rPr>
            </w:pPr>
            <w:r>
              <w:rPr>
                <w:rFonts w:ascii="Calibri" w:hAnsi="Calibri" w:cs="Calibri"/>
                <w:color w:val="000000"/>
                <w:sz w:val="18"/>
                <w:szCs w:val="18"/>
              </w:rPr>
              <w:t>X</w:t>
            </w:r>
          </w:p>
        </w:tc>
        <w:tc>
          <w:tcPr>
            <w:tcW w:w="523" w:type="dxa"/>
            <w:vAlign w:val="center"/>
          </w:tcPr>
          <w:p w14:paraId="7268744B" w14:textId="66D4816F" w:rsidR="00CE5AF0" w:rsidRDefault="00CE5AF0" w:rsidP="00CE5AF0">
            <w:pPr>
              <w:spacing w:line="360" w:lineRule="auto"/>
              <w:jc w:val="both"/>
              <w:rPr>
                <w:b/>
                <w:sz w:val="16"/>
                <w:szCs w:val="16"/>
              </w:rPr>
            </w:pPr>
            <w:r>
              <w:rPr>
                <w:rFonts w:ascii="Calibri" w:hAnsi="Calibri" w:cs="Calibri"/>
                <w:color w:val="000000"/>
                <w:sz w:val="18"/>
                <w:szCs w:val="18"/>
              </w:rPr>
              <w:t>X</w:t>
            </w:r>
          </w:p>
        </w:tc>
        <w:tc>
          <w:tcPr>
            <w:tcW w:w="523" w:type="dxa"/>
            <w:vAlign w:val="center"/>
          </w:tcPr>
          <w:p w14:paraId="2C425C21" w14:textId="01765F50" w:rsidR="00CE5AF0" w:rsidRDefault="00CE5AF0" w:rsidP="00CE5AF0">
            <w:pPr>
              <w:spacing w:line="360" w:lineRule="auto"/>
              <w:jc w:val="both"/>
              <w:rPr>
                <w:b/>
                <w:sz w:val="16"/>
                <w:szCs w:val="16"/>
              </w:rPr>
            </w:pPr>
            <w:r>
              <w:rPr>
                <w:rFonts w:ascii="Calibri" w:hAnsi="Calibri" w:cs="Calibri"/>
                <w:color w:val="000000"/>
                <w:sz w:val="18"/>
                <w:szCs w:val="18"/>
              </w:rPr>
              <w:t>X</w:t>
            </w:r>
          </w:p>
        </w:tc>
        <w:tc>
          <w:tcPr>
            <w:tcW w:w="523" w:type="dxa"/>
            <w:vAlign w:val="center"/>
          </w:tcPr>
          <w:p w14:paraId="08D533A3" w14:textId="35332753" w:rsidR="00CE5AF0" w:rsidRDefault="00CE5AF0" w:rsidP="00CE5AF0">
            <w:pPr>
              <w:spacing w:line="360" w:lineRule="auto"/>
              <w:jc w:val="both"/>
              <w:rPr>
                <w:b/>
                <w:sz w:val="16"/>
                <w:szCs w:val="16"/>
              </w:rPr>
            </w:pPr>
            <w:r>
              <w:rPr>
                <w:rFonts w:ascii="Calibri" w:hAnsi="Calibri" w:cs="Calibri"/>
                <w:color w:val="000000"/>
                <w:sz w:val="18"/>
                <w:szCs w:val="18"/>
              </w:rPr>
              <w:t>X</w:t>
            </w:r>
          </w:p>
        </w:tc>
        <w:tc>
          <w:tcPr>
            <w:tcW w:w="523" w:type="dxa"/>
            <w:vAlign w:val="center"/>
          </w:tcPr>
          <w:p w14:paraId="762A98ED" w14:textId="06787BE4" w:rsidR="00CE5AF0" w:rsidRDefault="00CE5AF0" w:rsidP="00CE5AF0">
            <w:pPr>
              <w:spacing w:line="360" w:lineRule="auto"/>
              <w:jc w:val="both"/>
              <w:rPr>
                <w:b/>
                <w:sz w:val="16"/>
                <w:szCs w:val="16"/>
              </w:rPr>
            </w:pPr>
            <w:r>
              <w:rPr>
                <w:rFonts w:ascii="Calibri" w:hAnsi="Calibri" w:cs="Calibri"/>
                <w:color w:val="000000"/>
                <w:sz w:val="18"/>
                <w:szCs w:val="18"/>
              </w:rPr>
              <w:t>X</w:t>
            </w:r>
          </w:p>
        </w:tc>
        <w:tc>
          <w:tcPr>
            <w:tcW w:w="523" w:type="dxa"/>
            <w:vAlign w:val="center"/>
          </w:tcPr>
          <w:p w14:paraId="5B39BC73" w14:textId="5735858C" w:rsidR="00CE5AF0" w:rsidRDefault="00CE5AF0" w:rsidP="00CE5AF0">
            <w:pPr>
              <w:spacing w:line="360" w:lineRule="auto"/>
              <w:jc w:val="both"/>
              <w:rPr>
                <w:b/>
                <w:sz w:val="16"/>
                <w:szCs w:val="16"/>
              </w:rPr>
            </w:pPr>
            <w:r>
              <w:rPr>
                <w:rFonts w:ascii="Calibri" w:hAnsi="Calibri" w:cs="Calibri"/>
                <w:color w:val="000000"/>
                <w:sz w:val="18"/>
                <w:szCs w:val="18"/>
              </w:rPr>
              <w:t>X</w:t>
            </w:r>
          </w:p>
        </w:tc>
        <w:tc>
          <w:tcPr>
            <w:tcW w:w="523" w:type="dxa"/>
            <w:vAlign w:val="center"/>
          </w:tcPr>
          <w:p w14:paraId="50FF6776" w14:textId="3B513865" w:rsidR="00CE5AF0" w:rsidRDefault="00CE5AF0" w:rsidP="00CE5AF0">
            <w:pPr>
              <w:spacing w:line="360" w:lineRule="auto"/>
              <w:jc w:val="both"/>
              <w:rPr>
                <w:b/>
                <w:sz w:val="16"/>
                <w:szCs w:val="16"/>
              </w:rPr>
            </w:pPr>
            <w:r>
              <w:rPr>
                <w:rFonts w:ascii="Calibri" w:hAnsi="Calibri" w:cs="Calibri"/>
                <w:color w:val="000000"/>
                <w:sz w:val="18"/>
                <w:szCs w:val="18"/>
              </w:rPr>
              <w:t>X</w:t>
            </w:r>
          </w:p>
        </w:tc>
        <w:tc>
          <w:tcPr>
            <w:tcW w:w="525" w:type="dxa"/>
            <w:vAlign w:val="center"/>
          </w:tcPr>
          <w:p w14:paraId="7130F1FB" w14:textId="35ED4579" w:rsidR="00CE5AF0" w:rsidRDefault="00CE5AF0" w:rsidP="00CE5AF0">
            <w:pPr>
              <w:spacing w:line="360" w:lineRule="auto"/>
              <w:jc w:val="both"/>
              <w:rPr>
                <w:b/>
                <w:sz w:val="16"/>
                <w:szCs w:val="16"/>
              </w:rPr>
            </w:pPr>
            <w:r>
              <w:rPr>
                <w:rFonts w:ascii="Calibri" w:hAnsi="Calibri" w:cs="Calibri"/>
                <w:color w:val="000000"/>
                <w:sz w:val="18"/>
                <w:szCs w:val="18"/>
              </w:rPr>
              <w:t>X</w:t>
            </w:r>
          </w:p>
        </w:tc>
        <w:tc>
          <w:tcPr>
            <w:tcW w:w="525" w:type="dxa"/>
            <w:vAlign w:val="center"/>
          </w:tcPr>
          <w:p w14:paraId="7DC01B66" w14:textId="6A8EF112" w:rsidR="00CE5AF0" w:rsidRDefault="00CE5AF0" w:rsidP="00CE5AF0">
            <w:pPr>
              <w:spacing w:line="360" w:lineRule="auto"/>
              <w:jc w:val="both"/>
              <w:rPr>
                <w:b/>
                <w:sz w:val="16"/>
                <w:szCs w:val="16"/>
              </w:rPr>
            </w:pPr>
            <w:r>
              <w:rPr>
                <w:rFonts w:ascii="Calibri" w:hAnsi="Calibri" w:cs="Calibri"/>
                <w:color w:val="000000"/>
                <w:sz w:val="18"/>
                <w:szCs w:val="18"/>
              </w:rPr>
              <w:t>X</w:t>
            </w:r>
          </w:p>
        </w:tc>
        <w:tc>
          <w:tcPr>
            <w:tcW w:w="525" w:type="dxa"/>
            <w:vAlign w:val="center"/>
          </w:tcPr>
          <w:p w14:paraId="4DE80394" w14:textId="08C32FA3" w:rsidR="00CE5AF0" w:rsidRDefault="00CE5AF0" w:rsidP="00CE5AF0">
            <w:pPr>
              <w:spacing w:line="360" w:lineRule="auto"/>
              <w:jc w:val="both"/>
              <w:rPr>
                <w:b/>
                <w:sz w:val="16"/>
                <w:szCs w:val="16"/>
              </w:rPr>
            </w:pPr>
            <w:r>
              <w:rPr>
                <w:rFonts w:ascii="Calibri" w:hAnsi="Calibri" w:cs="Calibri"/>
                <w:color w:val="000000"/>
                <w:sz w:val="18"/>
                <w:szCs w:val="18"/>
              </w:rPr>
              <w:t>X</w:t>
            </w:r>
          </w:p>
        </w:tc>
        <w:tc>
          <w:tcPr>
            <w:tcW w:w="525" w:type="dxa"/>
            <w:gridSpan w:val="2"/>
            <w:vAlign w:val="center"/>
          </w:tcPr>
          <w:p w14:paraId="58DE116B" w14:textId="77777777" w:rsidR="00CE5AF0" w:rsidRDefault="00CE5AF0" w:rsidP="00CE5AF0">
            <w:pPr>
              <w:spacing w:line="360" w:lineRule="auto"/>
              <w:jc w:val="both"/>
              <w:rPr>
                <w:b/>
                <w:sz w:val="16"/>
                <w:szCs w:val="16"/>
              </w:rPr>
            </w:pPr>
          </w:p>
        </w:tc>
        <w:tc>
          <w:tcPr>
            <w:tcW w:w="525" w:type="dxa"/>
            <w:vAlign w:val="center"/>
          </w:tcPr>
          <w:p w14:paraId="5A4F08BE" w14:textId="77777777" w:rsidR="00CE5AF0" w:rsidRDefault="00CE5AF0" w:rsidP="00CE5AF0">
            <w:pPr>
              <w:spacing w:line="360" w:lineRule="auto"/>
              <w:jc w:val="both"/>
              <w:rPr>
                <w:b/>
                <w:sz w:val="16"/>
                <w:szCs w:val="16"/>
              </w:rPr>
            </w:pPr>
          </w:p>
        </w:tc>
        <w:tc>
          <w:tcPr>
            <w:tcW w:w="525" w:type="dxa"/>
            <w:vAlign w:val="center"/>
          </w:tcPr>
          <w:p w14:paraId="250F36D1" w14:textId="77777777" w:rsidR="00CE5AF0" w:rsidRDefault="00CE5AF0" w:rsidP="00CE5AF0">
            <w:pPr>
              <w:spacing w:line="360" w:lineRule="auto"/>
              <w:jc w:val="both"/>
              <w:rPr>
                <w:b/>
                <w:sz w:val="16"/>
                <w:szCs w:val="16"/>
              </w:rPr>
            </w:pPr>
          </w:p>
        </w:tc>
      </w:tr>
      <w:tr w:rsidR="00CE5AF0" w14:paraId="02951CD5" w14:textId="77777777" w:rsidTr="0034246B">
        <w:trPr>
          <w:gridAfter w:val="1"/>
          <w:wAfter w:w="10" w:type="dxa"/>
          <w:trHeight w:val="294"/>
        </w:trPr>
        <w:tc>
          <w:tcPr>
            <w:tcW w:w="1351" w:type="dxa"/>
            <w:vAlign w:val="center"/>
          </w:tcPr>
          <w:p w14:paraId="2647974D" w14:textId="43072980" w:rsidR="00CE5AF0" w:rsidRDefault="00CE5AF0" w:rsidP="00CE5AF0">
            <w:pPr>
              <w:spacing w:line="360" w:lineRule="auto"/>
              <w:jc w:val="both"/>
              <w:rPr>
                <w:b/>
                <w:sz w:val="16"/>
                <w:szCs w:val="16"/>
              </w:rPr>
            </w:pPr>
            <w:r>
              <w:rPr>
                <w:rFonts w:ascii="Calibri" w:hAnsi="Calibri" w:cs="Calibri"/>
                <w:color w:val="000000"/>
                <w:sz w:val="18"/>
                <w:szCs w:val="18"/>
              </w:rPr>
              <w:t>Pruebas, validación, evidencias y cierre</w:t>
            </w:r>
          </w:p>
        </w:tc>
        <w:tc>
          <w:tcPr>
            <w:tcW w:w="536" w:type="dxa"/>
            <w:vAlign w:val="center"/>
          </w:tcPr>
          <w:p w14:paraId="23841EF8" w14:textId="77777777" w:rsidR="00CE5AF0" w:rsidRDefault="00CE5AF0" w:rsidP="00CE5AF0">
            <w:pPr>
              <w:spacing w:line="360" w:lineRule="auto"/>
              <w:jc w:val="both"/>
              <w:rPr>
                <w:b/>
                <w:sz w:val="16"/>
                <w:szCs w:val="16"/>
              </w:rPr>
            </w:pPr>
          </w:p>
        </w:tc>
        <w:tc>
          <w:tcPr>
            <w:tcW w:w="522" w:type="dxa"/>
            <w:vAlign w:val="center"/>
          </w:tcPr>
          <w:p w14:paraId="1EA4DA33" w14:textId="77777777" w:rsidR="00CE5AF0" w:rsidRDefault="00CE5AF0" w:rsidP="00CE5AF0">
            <w:pPr>
              <w:spacing w:line="360" w:lineRule="auto"/>
              <w:jc w:val="both"/>
              <w:rPr>
                <w:b/>
                <w:sz w:val="16"/>
                <w:szCs w:val="16"/>
              </w:rPr>
            </w:pPr>
          </w:p>
        </w:tc>
        <w:tc>
          <w:tcPr>
            <w:tcW w:w="523" w:type="dxa"/>
            <w:vAlign w:val="center"/>
          </w:tcPr>
          <w:p w14:paraId="3553A2A8" w14:textId="77777777" w:rsidR="00CE5AF0" w:rsidRDefault="00CE5AF0" w:rsidP="00CE5AF0">
            <w:pPr>
              <w:spacing w:line="360" w:lineRule="auto"/>
              <w:jc w:val="both"/>
              <w:rPr>
                <w:b/>
                <w:sz w:val="16"/>
                <w:szCs w:val="16"/>
              </w:rPr>
            </w:pPr>
          </w:p>
        </w:tc>
        <w:tc>
          <w:tcPr>
            <w:tcW w:w="526" w:type="dxa"/>
            <w:vAlign w:val="center"/>
          </w:tcPr>
          <w:p w14:paraId="6493CF7C" w14:textId="77777777" w:rsidR="00CE5AF0" w:rsidRDefault="00CE5AF0" w:rsidP="00CE5AF0">
            <w:pPr>
              <w:spacing w:line="360" w:lineRule="auto"/>
              <w:jc w:val="both"/>
              <w:rPr>
                <w:b/>
                <w:sz w:val="16"/>
                <w:szCs w:val="16"/>
              </w:rPr>
            </w:pPr>
          </w:p>
        </w:tc>
        <w:tc>
          <w:tcPr>
            <w:tcW w:w="523" w:type="dxa"/>
            <w:vAlign w:val="center"/>
          </w:tcPr>
          <w:p w14:paraId="158BBAB1" w14:textId="77777777" w:rsidR="00CE5AF0" w:rsidRDefault="00CE5AF0" w:rsidP="00CE5AF0">
            <w:pPr>
              <w:spacing w:line="360" w:lineRule="auto"/>
              <w:jc w:val="both"/>
              <w:rPr>
                <w:b/>
                <w:sz w:val="16"/>
                <w:szCs w:val="16"/>
              </w:rPr>
            </w:pPr>
          </w:p>
        </w:tc>
        <w:tc>
          <w:tcPr>
            <w:tcW w:w="523" w:type="dxa"/>
            <w:vAlign w:val="center"/>
          </w:tcPr>
          <w:p w14:paraId="2C85C855" w14:textId="77777777" w:rsidR="00CE5AF0" w:rsidRDefault="00CE5AF0" w:rsidP="00CE5AF0">
            <w:pPr>
              <w:spacing w:line="360" w:lineRule="auto"/>
              <w:jc w:val="both"/>
              <w:rPr>
                <w:b/>
                <w:sz w:val="16"/>
                <w:szCs w:val="16"/>
              </w:rPr>
            </w:pPr>
          </w:p>
        </w:tc>
        <w:tc>
          <w:tcPr>
            <w:tcW w:w="523" w:type="dxa"/>
            <w:vAlign w:val="center"/>
          </w:tcPr>
          <w:p w14:paraId="236328EA" w14:textId="77777777" w:rsidR="00CE5AF0" w:rsidRDefault="00CE5AF0" w:rsidP="00CE5AF0">
            <w:pPr>
              <w:spacing w:line="360" w:lineRule="auto"/>
              <w:jc w:val="both"/>
              <w:rPr>
                <w:b/>
                <w:sz w:val="16"/>
                <w:szCs w:val="16"/>
              </w:rPr>
            </w:pPr>
          </w:p>
        </w:tc>
        <w:tc>
          <w:tcPr>
            <w:tcW w:w="523" w:type="dxa"/>
            <w:vAlign w:val="center"/>
          </w:tcPr>
          <w:p w14:paraId="2E257027" w14:textId="77777777" w:rsidR="00CE5AF0" w:rsidRDefault="00CE5AF0" w:rsidP="00CE5AF0">
            <w:pPr>
              <w:spacing w:line="360" w:lineRule="auto"/>
              <w:jc w:val="both"/>
              <w:rPr>
                <w:b/>
                <w:sz w:val="16"/>
                <w:szCs w:val="16"/>
              </w:rPr>
            </w:pPr>
          </w:p>
        </w:tc>
        <w:tc>
          <w:tcPr>
            <w:tcW w:w="523" w:type="dxa"/>
            <w:vAlign w:val="center"/>
          </w:tcPr>
          <w:p w14:paraId="6D4C4528" w14:textId="77777777" w:rsidR="00CE5AF0" w:rsidRDefault="00CE5AF0" w:rsidP="00CE5AF0">
            <w:pPr>
              <w:spacing w:line="360" w:lineRule="auto"/>
              <w:jc w:val="both"/>
              <w:rPr>
                <w:b/>
                <w:sz w:val="16"/>
                <w:szCs w:val="16"/>
              </w:rPr>
            </w:pPr>
          </w:p>
        </w:tc>
        <w:tc>
          <w:tcPr>
            <w:tcW w:w="523" w:type="dxa"/>
            <w:vAlign w:val="center"/>
          </w:tcPr>
          <w:p w14:paraId="22060A31" w14:textId="77777777" w:rsidR="00CE5AF0" w:rsidRDefault="00CE5AF0" w:rsidP="00CE5AF0">
            <w:pPr>
              <w:spacing w:line="360" w:lineRule="auto"/>
              <w:jc w:val="both"/>
              <w:rPr>
                <w:b/>
                <w:sz w:val="16"/>
                <w:szCs w:val="16"/>
              </w:rPr>
            </w:pPr>
          </w:p>
        </w:tc>
        <w:tc>
          <w:tcPr>
            <w:tcW w:w="523" w:type="dxa"/>
            <w:vAlign w:val="center"/>
          </w:tcPr>
          <w:p w14:paraId="5CC1BA9D" w14:textId="77777777" w:rsidR="00CE5AF0" w:rsidRDefault="00CE5AF0" w:rsidP="00CE5AF0">
            <w:pPr>
              <w:spacing w:line="360" w:lineRule="auto"/>
              <w:jc w:val="both"/>
              <w:rPr>
                <w:b/>
                <w:sz w:val="16"/>
                <w:szCs w:val="16"/>
              </w:rPr>
            </w:pPr>
          </w:p>
        </w:tc>
        <w:tc>
          <w:tcPr>
            <w:tcW w:w="523" w:type="dxa"/>
            <w:vAlign w:val="center"/>
          </w:tcPr>
          <w:p w14:paraId="0F20F773" w14:textId="77777777" w:rsidR="00CE5AF0" w:rsidRDefault="00CE5AF0" w:rsidP="00CE5AF0">
            <w:pPr>
              <w:spacing w:line="360" w:lineRule="auto"/>
              <w:jc w:val="both"/>
              <w:rPr>
                <w:b/>
                <w:sz w:val="16"/>
                <w:szCs w:val="16"/>
              </w:rPr>
            </w:pPr>
          </w:p>
        </w:tc>
        <w:tc>
          <w:tcPr>
            <w:tcW w:w="525" w:type="dxa"/>
            <w:vAlign w:val="center"/>
          </w:tcPr>
          <w:p w14:paraId="7EC1A528" w14:textId="77777777" w:rsidR="00CE5AF0" w:rsidRDefault="00CE5AF0" w:rsidP="00CE5AF0">
            <w:pPr>
              <w:spacing w:line="360" w:lineRule="auto"/>
              <w:jc w:val="both"/>
              <w:rPr>
                <w:b/>
                <w:sz w:val="16"/>
                <w:szCs w:val="16"/>
              </w:rPr>
            </w:pPr>
          </w:p>
        </w:tc>
        <w:tc>
          <w:tcPr>
            <w:tcW w:w="525" w:type="dxa"/>
            <w:vAlign w:val="center"/>
          </w:tcPr>
          <w:p w14:paraId="65E9DA14" w14:textId="77777777" w:rsidR="00CE5AF0" w:rsidRDefault="00CE5AF0" w:rsidP="00CE5AF0">
            <w:pPr>
              <w:spacing w:line="360" w:lineRule="auto"/>
              <w:jc w:val="both"/>
              <w:rPr>
                <w:b/>
                <w:sz w:val="16"/>
                <w:szCs w:val="16"/>
              </w:rPr>
            </w:pPr>
          </w:p>
        </w:tc>
        <w:tc>
          <w:tcPr>
            <w:tcW w:w="525" w:type="dxa"/>
            <w:vAlign w:val="center"/>
          </w:tcPr>
          <w:p w14:paraId="5760167E" w14:textId="77777777" w:rsidR="00CE5AF0" w:rsidRDefault="00CE5AF0" w:rsidP="00CE5AF0">
            <w:pPr>
              <w:spacing w:line="360" w:lineRule="auto"/>
              <w:jc w:val="both"/>
              <w:rPr>
                <w:b/>
                <w:sz w:val="16"/>
                <w:szCs w:val="16"/>
              </w:rPr>
            </w:pPr>
          </w:p>
        </w:tc>
        <w:tc>
          <w:tcPr>
            <w:tcW w:w="525" w:type="dxa"/>
            <w:gridSpan w:val="2"/>
            <w:vAlign w:val="center"/>
          </w:tcPr>
          <w:p w14:paraId="1C4BC8D3" w14:textId="04CFF091" w:rsidR="00CE5AF0" w:rsidRDefault="00CE5AF0" w:rsidP="00CE5AF0">
            <w:pPr>
              <w:spacing w:line="360" w:lineRule="auto"/>
              <w:jc w:val="both"/>
              <w:rPr>
                <w:b/>
                <w:sz w:val="16"/>
                <w:szCs w:val="16"/>
              </w:rPr>
            </w:pPr>
            <w:r>
              <w:rPr>
                <w:rFonts w:ascii="Calibri" w:hAnsi="Calibri" w:cs="Calibri"/>
                <w:color w:val="000000"/>
                <w:sz w:val="18"/>
                <w:szCs w:val="18"/>
              </w:rPr>
              <w:t>X</w:t>
            </w:r>
          </w:p>
        </w:tc>
        <w:tc>
          <w:tcPr>
            <w:tcW w:w="525" w:type="dxa"/>
            <w:vAlign w:val="center"/>
          </w:tcPr>
          <w:p w14:paraId="22641375" w14:textId="384C8EB8" w:rsidR="00CE5AF0" w:rsidRDefault="00CE5AF0" w:rsidP="00CE5AF0">
            <w:pPr>
              <w:spacing w:line="360" w:lineRule="auto"/>
              <w:jc w:val="both"/>
              <w:rPr>
                <w:b/>
                <w:sz w:val="16"/>
                <w:szCs w:val="16"/>
              </w:rPr>
            </w:pPr>
            <w:r>
              <w:rPr>
                <w:rFonts w:ascii="Calibri" w:hAnsi="Calibri" w:cs="Calibri"/>
                <w:color w:val="000000"/>
                <w:sz w:val="18"/>
                <w:szCs w:val="18"/>
              </w:rPr>
              <w:t>X</w:t>
            </w:r>
          </w:p>
        </w:tc>
        <w:tc>
          <w:tcPr>
            <w:tcW w:w="525" w:type="dxa"/>
            <w:vAlign w:val="center"/>
          </w:tcPr>
          <w:p w14:paraId="744B29F2" w14:textId="6C0BEA7B" w:rsidR="00CE5AF0" w:rsidRDefault="00CE5AF0" w:rsidP="00CE5AF0">
            <w:pPr>
              <w:spacing w:line="360" w:lineRule="auto"/>
              <w:jc w:val="both"/>
              <w:rPr>
                <w:b/>
                <w:sz w:val="16"/>
                <w:szCs w:val="16"/>
              </w:rPr>
            </w:pPr>
            <w:r>
              <w:rPr>
                <w:rFonts w:ascii="Calibri" w:hAnsi="Calibri" w:cs="Calibri"/>
                <w:color w:val="000000"/>
                <w:sz w:val="18"/>
                <w:szCs w:val="18"/>
              </w:rP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F5F16" w14:textId="77777777" w:rsidR="007F0B74" w:rsidRDefault="007F0B74" w:rsidP="00D110EC">
      <w:pPr>
        <w:spacing w:after="0" w:line="240" w:lineRule="auto"/>
      </w:pPr>
      <w:r>
        <w:separator/>
      </w:r>
    </w:p>
  </w:endnote>
  <w:endnote w:type="continuationSeparator" w:id="0">
    <w:p w14:paraId="66FA8D11" w14:textId="77777777" w:rsidR="007F0B74" w:rsidRDefault="007F0B74"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C1F5" w14:textId="77777777" w:rsidR="007F0B74" w:rsidRDefault="007F0B74" w:rsidP="00D110EC">
      <w:pPr>
        <w:spacing w:after="0" w:line="240" w:lineRule="auto"/>
      </w:pPr>
      <w:r>
        <w:separator/>
      </w:r>
    </w:p>
  </w:footnote>
  <w:footnote w:type="continuationSeparator" w:id="0">
    <w:p w14:paraId="582D8779" w14:textId="77777777" w:rsidR="007F0B74" w:rsidRDefault="007F0B74"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4674728">
    <w:abstractNumId w:val="2"/>
  </w:num>
  <w:num w:numId="2" w16cid:durableId="1147360816">
    <w:abstractNumId w:val="3"/>
  </w:num>
  <w:num w:numId="3" w16cid:durableId="180974348">
    <w:abstractNumId w:val="0"/>
  </w:num>
  <w:num w:numId="4" w16cid:durableId="405958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257BCA"/>
    <w:rsid w:val="00294813"/>
    <w:rsid w:val="00393B9B"/>
    <w:rsid w:val="00400601"/>
    <w:rsid w:val="00416B89"/>
    <w:rsid w:val="00565AE6"/>
    <w:rsid w:val="005673ED"/>
    <w:rsid w:val="00574894"/>
    <w:rsid w:val="00582596"/>
    <w:rsid w:val="005B4D4A"/>
    <w:rsid w:val="00625E4A"/>
    <w:rsid w:val="00675035"/>
    <w:rsid w:val="006D62BF"/>
    <w:rsid w:val="0070663F"/>
    <w:rsid w:val="00707913"/>
    <w:rsid w:val="007335A0"/>
    <w:rsid w:val="00756A26"/>
    <w:rsid w:val="007A2B07"/>
    <w:rsid w:val="007C0284"/>
    <w:rsid w:val="007E7568"/>
    <w:rsid w:val="007F0B74"/>
    <w:rsid w:val="008018E6"/>
    <w:rsid w:val="008069D0"/>
    <w:rsid w:val="00811776"/>
    <w:rsid w:val="00834A98"/>
    <w:rsid w:val="008D7780"/>
    <w:rsid w:val="008E0387"/>
    <w:rsid w:val="00936D73"/>
    <w:rsid w:val="00937347"/>
    <w:rsid w:val="009378F7"/>
    <w:rsid w:val="00940A1E"/>
    <w:rsid w:val="009516D5"/>
    <w:rsid w:val="00994FFC"/>
    <w:rsid w:val="009B74E2"/>
    <w:rsid w:val="009D04DC"/>
    <w:rsid w:val="00A06D2A"/>
    <w:rsid w:val="00A8774B"/>
    <w:rsid w:val="00AB3382"/>
    <w:rsid w:val="00AB5E5F"/>
    <w:rsid w:val="00AE4746"/>
    <w:rsid w:val="00B2167F"/>
    <w:rsid w:val="00B2472E"/>
    <w:rsid w:val="00B6779A"/>
    <w:rsid w:val="00B846A3"/>
    <w:rsid w:val="00BC476C"/>
    <w:rsid w:val="00CA2536"/>
    <w:rsid w:val="00CE53A3"/>
    <w:rsid w:val="00CE5AF0"/>
    <w:rsid w:val="00D110EC"/>
    <w:rsid w:val="00D12495"/>
    <w:rsid w:val="00D67975"/>
    <w:rsid w:val="00DA5CB1"/>
    <w:rsid w:val="00DC7A34"/>
    <w:rsid w:val="00E20DFE"/>
    <w:rsid w:val="00E65208"/>
    <w:rsid w:val="00EA0293"/>
    <w:rsid w:val="00EC3220"/>
    <w:rsid w:val="00F043F6"/>
    <w:rsid w:val="00F33127"/>
    <w:rsid w:val="00F35AC7"/>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NormalWeb">
    <w:name w:val="Normal (Web)"/>
    <w:basedOn w:val="Normal"/>
    <w:uiPriority w:val="99"/>
    <w:unhideWhenUsed/>
    <w:rsid w:val="00AB5E5F"/>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1864</Words>
  <Characters>10256</Characters>
  <Application>Microsoft Office Word</Application>
  <DocSecurity>0</DocSecurity>
  <Lines>85</Lines>
  <Paragraphs>24</Paragraphs>
  <ScaleCrop>false</ScaleCrop>
  <Company/>
  <LinksUpToDate>false</LinksUpToDate>
  <CharactersWithSpaces>12096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vicente suazo</cp:lastModifiedBy>
  <cp:revision>20</cp:revision>
  <dcterms:created xsi:type="dcterms:W3CDTF">2022-08-24T18:07:00Z</dcterms:created>
  <dcterms:modified xsi:type="dcterms:W3CDTF">2026-09-04T22:17:00Z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