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t>Durante esta fase el equipo formalizó y precisó el alcance del proyecto a partir de la retroalimentación directa de la empresa mandante, Alloxentric. La ficha inicial (Fase 1) describía el proyecto como el desarrollo de un módulo normativo ISO/IEC 42001 dentro de la plataforma DANI27. Sin embargo, al coordinar el trabajo con Alloxentric y con el equipo paralelo a cargo del modelo de datos (Equipo Dani 9001 UTEM), se formalizó un alcance más preciso en el "Documento de Alcance de Desarrollo—Equipo DANI 42001": el equipo es responsable de construir la capa de personalización de componentes normativos (políticas, normas, procedimientos y controles) para múltiples frameworks —ISO 27001, ISO 9001, ISO 42001, GDPR, SOC 2 y PCI DSS, entre otros—, cubriendo un universo de más de 200 componentes.</w:t>
            </w:r>
          </w:p>
          <w:p>
            <w:r>
              <w:t>Concretamente, se avanzó en: (1) la definición del alcance de desarrollo formal, documentado y validado con el mandante; (2) el diseño del wireframe de la pantalla de gestión de componentes, que muestra cómo un administrador visualiza y edita las preguntas de configuración y el documento maestro de cada componente; (3) el levantamiento inicial del listado de componentes de ISO 27001, como framework de partida; y (4) la puesta en marcha del repositorio GitHub del proyecto ("Proyecto-Dani-ISO-42001"), donde se registran las evidencias por fase.</w:t>
            </w:r>
          </w:p>
          <w:p>
            <w:r>
              <w:t>Dado que el alcance cambió respecto de lo declarado en la Fase 1, se incluyen a continuación los objetivos y la metodología ajustados.</w:t>
            </w:r>
          </w:p>
        </w:tc>
      </w:tr>
      <w:tr w:rsidR="0003309E" w14:paraId="054DAFFB" w14:textId="77777777" w:rsidTr="000A133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t>Objetivo general ajustado: desarrollar, sobre la plataforma DANI27 de Alloxentric, la capa de personalización de componentes normativos (políticas, normas, procedimientos y controles) que permite a cada empresa generar documentación propia y actualizada para distintos frameworks de cumplimiento, integrando este trabajo con el modelo de datos construido por el equipo Dani 9001 UTEM.</w:t>
            </w:r>
          </w:p>
          <w:p>
            <w:r>
              <w:t>Objetivos específicos ajustados:</w:t>
            </w:r>
          </w:p>
          <w:p>
            <w:r>
              <w:t>1. Levantar el listado de componentes por framework, comenzando por ISO 27001, para continuar luego con ISO 9001, ISO 42001, GDPR, SOC 2 y PCI DSS.</w:t>
            </w:r>
          </w:p>
          <w:p>
            <w:r>
              <w:t>2. Clasificar cada componente según su tipo (política, norma, procedimiento o control).</w:t>
            </w:r>
          </w:p>
          <w:p>
            <w:r>
              <w:t>3. Definir, para cada componente, entre 4 y 6 preguntas de configuración orientadas a las variables que efectivamente cambian entre empresas.</w:t>
            </w:r>
          </w:p>
          <w:p>
            <w:r>
              <w:t>4. Redactar el documento maestro (plantilla) correspondiente a cada componente.</w:t>
            </w:r>
          </w:p>
          <w:p>
            <w:r>
              <w:t>5. Diseñar el prompt para el LLM que combine el documento maestro, las respuestas a las preguntas y los datos de la empresa, generando un documento personalizado en Word o PDF.</w:t>
            </w:r>
          </w:p>
          <w:p>
            <w:r>
              <w:t>6. Diseñar la lógica que identifique componentes que una empresa ya tiene resueltos por estar certificada en otra normativa, evitando solicitarlos nuevamente.</w:t>
            </w:r>
          </w:p>
          <w:p>
            <w:r>
              <w:t>7. Definir el flujo funcional de actualización de documentos personalizados ante nuevas versiones de la normativa.</w:t>
            </w:r>
          </w:p>
          <w:p>
            <w:r>
              <w:t>8. Integrar las preguntas, documentos maestros y prompts generados con el modelo de datos desarrollado por el equipo Dani 9001 UTEM.</w:t>
            </w:r>
          </w:p>
        </w:tc>
      </w:tr>
      <w:tr w:rsidR="0003309E" w14:paraId="2FEF1C0D" w14:textId="77777777" w:rsidTr="000A133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t>El equipo mantiene Scrum como metodología de trabajo, organizando el desarrollo en sprints con revisiones semanales de avance. El backlog se prioriza por framework, comenzando por los componentes de ISO 27001 (por ser la base ya operativa de DANI27), para continuar con ISO 9001 e ISO 42001 y, posteriormente, GDPR, SOC 2 y PCI DSS.</w:t>
            </w:r>
          </w:p>
          <w:p>
            <w:r>
              <w:t>Dado que el modelo de datos sobre el que se insertan los componentes, preguntas y documentos maestro es desarrollado por un equipo externo (Dani 9001 UTEM), se incorporó a la metodología una instancia de coordinación periódica con ese equipo, de manera de validar en cada sprint que la estructura de datos definida sea compatible con lo que el equipo DANI 42001 necesita entregar.</w:t>
            </w:r>
          </w:p>
        </w:tc>
      </w:tr>
      <w:tr w:rsidR="0003309E" w14:paraId="74E704B1" w14:textId="77777777" w:rsidTr="000A1331">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7676AFBF" w:rsidR="0003309E" w:rsidRDefault="0003309E" w:rsidP="00585A13">
            <w:pPr>
              <w:jc w:val="both"/>
              <w:rPr>
                <w:rFonts w:ascii="Calibri" w:hAnsi="Calibri" w:cs="Arial"/>
                <w:i/>
                <w:color w:val="548DD4"/>
                <w:sz w:val="20"/>
                <w:szCs w:val="20"/>
                <w:lang w:eastAsia="es-CL"/>
              </w:rPr>
            </w:pPr>
            <w:r>
              <w:t>Las evidencias que respaldan este informe de avance son:</w:t>
            </w:r>
          </w:p>
          <w:p>
            <w:r>
              <w:t>1. Documento de Alcance de Desarrollo (Alcance_Dani_42001.docx): formaliza el levantamiento de requerimientos ajustado tras la retroalimentación del mandante, detallando entregables y tareas específicas del equipo.</w:t>
            </w:r>
          </w:p>
          <w:p>
            <w:r>
              <w:t>2. Wireframe de la pantalla de gestión de componentes (dani_componentes_wireframe.html): evidencia el diseño funcional de la interfaz donde se configuran las preguntas y el documento maestro de cada componente, resguardando que el diseño sea consistente con el modelo de datos del equipo Dani 9001 UTEM antes de iniciar la implementación.</w:t>
            </w:r>
          </w:p>
          <w:p>
            <w:r>
              <w:t>3. Repositorio GitHub "Proyecto-Dani-ISO-42001": contiene la carpeta de evidencias de Fase 1 y, a partir de esta entrega, la carpeta de Fase 2, lo que permite trazar el avance del equipo de forma pública y versionada.</w:t>
            </w:r>
          </w:p>
          <w:p>
            <w:r>
              <w:t>[Completar antes de entregar: indicar aquí el número de componentes de ISO 27001 ya levantados y clasificados, y adjuntar capturas de pantalla o enlaces a los documentos maestro y preguntas de configuración ya redactados, como evidencia concreta del avance de implementación.]</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Gestionar proyectos informáticos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Revisar y formalizar el alcance de desarrollo con la empresa mandante (Alloxentric)</w:t>
            </w:r>
          </w:p>
        </w:tc>
        <w:tc>
          <w:tcPr>
            <w:tcW w:w="1276" w:type="dxa"/>
          </w:tcPr>
          <w:p w14:paraId="16E191DF" w14:textId="77777777" w:rsidR="00FD5149" w:rsidRPr="006E3B0D" w:rsidRDefault="00FD5149" w:rsidP="00FD5149">
            <w:pPr>
              <w:jc w:val="both"/>
              <w:rPr>
                <w:b/>
                <w:sz w:val="18"/>
                <w:szCs w:val="24"/>
              </w:rPr>
            </w:pPr>
            <w:r>
              <w:t>Reunión con mandante, documento de alcance</w:t>
            </w:r>
          </w:p>
        </w:tc>
        <w:tc>
          <w:tcPr>
            <w:tcW w:w="1276" w:type="dxa"/>
          </w:tcPr>
          <w:p w14:paraId="66A5D860" w14:textId="77777777" w:rsidR="00FD5149" w:rsidRPr="006E3B0D" w:rsidRDefault="00FD5149" w:rsidP="00FD5149">
            <w:pPr>
              <w:jc w:val="both"/>
              <w:rPr>
                <w:b/>
                <w:sz w:val="18"/>
                <w:szCs w:val="24"/>
              </w:rPr>
            </w:pPr>
            <w:r>
              <w:t>Sprint 1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 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El alcance general de la ficha inicial se precisó a partir de la retroalimentación del mandante</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Se reformuló el enfoque de "módulo normativo único de ISO 42001" a "capa de personalización de componentes multi-framework"</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Construir modelos de datos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Levantar el listado de componentes (políticas, normas, procedimientos, controles) de ISO 27001</w:t>
            </w:r>
          </w:p>
        </w:tc>
        <w:tc>
          <w:tcPr>
            <w:tcW w:w="1276" w:type="dxa"/>
          </w:tcPr>
          <w:p w14:paraId="16E191DF" w14:textId="77777777" w:rsidR="00FD5149" w:rsidRPr="006E3B0D" w:rsidRDefault="00FD5149" w:rsidP="00FD5149">
            <w:pPr>
              <w:jc w:val="both"/>
              <w:rPr>
                <w:b/>
                <w:sz w:val="18"/>
                <w:szCs w:val="24"/>
              </w:rPr>
            </w:pPr>
            <w:r>
              <w:t>Documentación de la norma ISO 27001, planilla de componentes</w:t>
            </w:r>
          </w:p>
        </w:tc>
        <w:tc>
          <w:tcPr>
            <w:tcW w:w="1276" w:type="dxa"/>
          </w:tcPr>
          <w:p w14:paraId="66A5D860" w14:textId="77777777" w:rsidR="00FD5149" w:rsidRPr="006E3B0D" w:rsidRDefault="00FD5149" w:rsidP="00FD5149">
            <w:pPr>
              <w:jc w:val="both"/>
              <w:rPr>
                <w:b/>
                <w:sz w:val="18"/>
                <w:szCs w:val="24"/>
              </w:rPr>
            </w:pPr>
            <w:r>
              <w:t>Sprint 1-2 (3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El volumen total de componentes a cubrir en el proyecto (+200) es mayor al estimado inicialmente</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Se prioriza estrictamente por framework, comenzando por ISO 27001</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el wireframe de la pantalla de gestión de componentes</w:t>
            </w:r>
          </w:p>
        </w:tc>
        <w:tc>
          <w:tcPr>
            <w:tcW w:w="1276" w:type="dxa"/>
          </w:tcPr>
          <w:p w14:paraId="16E191DF" w14:textId="77777777" w:rsidR="00FD5149" w:rsidRPr="006E3B0D" w:rsidRDefault="00FD5149" w:rsidP="00FD5149">
            <w:pPr>
              <w:jc w:val="both"/>
              <w:rPr>
                <w:b/>
                <w:sz w:val="18"/>
                <w:szCs w:val="24"/>
              </w:rPr>
            </w:pPr>
            <w:r>
              <w:t>Herramienta de wireframing, retroalimentación del equipo y del mandante</w:t>
            </w:r>
          </w:p>
        </w:tc>
        <w:tc>
          <w:tcPr>
            <w:tcW w:w="1276" w:type="dxa"/>
          </w:tcPr>
          <w:p w14:paraId="66A5D860" w14:textId="77777777" w:rsidR="00FD5149" w:rsidRPr="006E3B0D" w:rsidRDefault="00FD5149" w:rsidP="00FD5149">
            <w:pPr>
              <w:jc w:val="both"/>
              <w:rPr>
                <w:b/>
                <w:sz w:val="18"/>
                <w:szCs w:val="24"/>
              </w:rPr>
            </w:pPr>
            <w:r>
              <w:t>Sprint 2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Sin observaciones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Completado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Construir modelos de datos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Definir las preguntas de configuración (4 a 6) por componente</w:t>
            </w:r>
          </w:p>
        </w:tc>
        <w:tc>
          <w:tcPr>
            <w:tcW w:w="1276" w:type="dxa"/>
          </w:tcPr>
          <w:p w14:paraId="16E191DF" w14:textId="77777777" w:rsidR="00FD5149" w:rsidRPr="006E3B0D" w:rsidRDefault="00FD5149" w:rsidP="00FD5149">
            <w:pPr>
              <w:jc w:val="both"/>
              <w:rPr>
                <w:b/>
                <w:sz w:val="18"/>
                <w:szCs w:val="24"/>
              </w:rPr>
            </w:pPr>
            <w:r>
              <w:t>Plantilla de preguntas, documentación normativa</w:t>
            </w:r>
          </w:p>
        </w:tc>
        <w:tc>
          <w:tcPr>
            <w:tcW w:w="1276" w:type="dxa"/>
          </w:tcPr>
          <w:p w14:paraId="66A5D860" w14:textId="77777777" w:rsidR="00FD5149" w:rsidRPr="006E3B0D" w:rsidRDefault="00FD5149" w:rsidP="00FD5149">
            <w:pPr>
              <w:jc w:val="both"/>
              <w:rPr>
                <w:b/>
                <w:sz w:val="18"/>
                <w:szCs w:val="24"/>
              </w:rPr>
            </w:pPr>
            <w:r>
              <w:t>Sprint 2-3 (3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Depende de contar primero con el listado de componentes clasificado</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Redactar el documento maestro (plantilla) de los primeros componentes de ISO 27001</w:t>
            </w:r>
          </w:p>
        </w:tc>
        <w:tc>
          <w:tcPr>
            <w:tcW w:w="1276" w:type="dxa"/>
          </w:tcPr>
          <w:p w14:paraId="16E191DF" w14:textId="77777777" w:rsidR="00FD5149" w:rsidRPr="006E3B0D" w:rsidRDefault="00FD5149" w:rsidP="00FD5149">
            <w:pPr>
              <w:jc w:val="both"/>
              <w:rPr>
                <w:b/>
                <w:sz w:val="18"/>
                <w:szCs w:val="24"/>
              </w:rPr>
            </w:pPr>
            <w:r>
              <w:t>Normativa ISO 27001, documento de alcance</w:t>
            </w:r>
          </w:p>
        </w:tc>
        <w:tc>
          <w:tcPr>
            <w:tcW w:w="1276" w:type="dxa"/>
          </w:tcPr>
          <w:p w14:paraId="66A5D860" w14:textId="77777777" w:rsidR="00FD5149" w:rsidRPr="006E3B0D" w:rsidRDefault="00FD5149" w:rsidP="00FD5149">
            <w:pPr>
              <w:jc w:val="both"/>
              <w:rPr>
                <w:b/>
                <w:sz w:val="18"/>
                <w:szCs w:val="24"/>
              </w:rPr>
            </w:pPr>
            <w:r>
              <w:t>Sprint 3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Sin observaciones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el prompt para el LLM que combine documento maestro, respuestas y datos de la empresa</w:t>
            </w:r>
          </w:p>
        </w:tc>
        <w:tc>
          <w:tcPr>
            <w:tcW w:w="1276" w:type="dxa"/>
          </w:tcPr>
          <w:p w14:paraId="16E191DF" w14:textId="77777777" w:rsidR="00FD5149" w:rsidRPr="006E3B0D" w:rsidRDefault="00FD5149" w:rsidP="00FD5149">
            <w:pPr>
              <w:jc w:val="both"/>
              <w:rPr>
                <w:b/>
                <w:sz w:val="18"/>
                <w:szCs w:val="24"/>
              </w:rPr>
            </w:pPr>
            <w:r>
              <w:t>Acceso a API de LLM, casos de prueba</w:t>
            </w:r>
          </w:p>
        </w:tc>
        <w:tc>
          <w:tcPr>
            <w:tcW w:w="1276" w:type="dxa"/>
          </w:tcPr>
          <w:p w14:paraId="66A5D860" w14:textId="77777777" w:rsidR="00FD5149" w:rsidRPr="006E3B0D" w:rsidRDefault="00FD5149" w:rsidP="00FD5149">
            <w:pPr>
              <w:jc w:val="both"/>
              <w:rPr>
                <w:b/>
                <w:sz w:val="18"/>
                <w:szCs w:val="24"/>
              </w:rPr>
            </w:pPr>
            <w:r>
              <w:t>Sprint 3-4 (3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Depende de contar con documentos maestro y preguntas de configuración ya definidos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No iniciado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Desarrollar una solución de software</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la lógica de reutilización de componentes ya certificados en otra normativa</w:t>
            </w:r>
          </w:p>
        </w:tc>
        <w:tc>
          <w:tcPr>
            <w:tcW w:w="1276" w:type="dxa"/>
          </w:tcPr>
          <w:p w14:paraId="16E191DF" w14:textId="77777777" w:rsidR="00FD5149" w:rsidRPr="006E3B0D" w:rsidRDefault="00FD5149" w:rsidP="00FD5149">
            <w:pPr>
              <w:jc w:val="both"/>
              <w:rPr>
                <w:b/>
                <w:sz w:val="18"/>
                <w:szCs w:val="24"/>
              </w:rPr>
            </w:pPr>
            <w:r>
              <w:t>Tabla de equivalencias entre normativas</w:t>
            </w:r>
          </w:p>
        </w:tc>
        <w:tc>
          <w:tcPr>
            <w:tcW w:w="1276" w:type="dxa"/>
          </w:tcPr>
          <w:p w14:paraId="66A5D860" w14:textId="77777777" w:rsidR="00FD5149" w:rsidRPr="006E3B0D" w:rsidRDefault="00FD5149" w:rsidP="00FD5149">
            <w:pPr>
              <w:jc w:val="both"/>
              <w:rPr>
                <w:b/>
                <w:sz w:val="18"/>
                <w:szCs w:val="24"/>
              </w:rPr>
            </w:pPr>
            <w:r>
              <w:t>Sprint 4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Sin observaciones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No iniciado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Gestionar proyectos informáticos</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Coordinar la integración de componentes, preguntas y prompts con el modelo de datos del equipo Dani 9001 UTEM</w:t>
            </w:r>
          </w:p>
        </w:tc>
        <w:tc>
          <w:tcPr>
            <w:tcW w:w="1276" w:type="dxa"/>
          </w:tcPr>
          <w:p w14:paraId="16E191DF" w14:textId="77777777" w:rsidR="00FD5149" w:rsidRPr="006E3B0D" w:rsidRDefault="00FD5149" w:rsidP="00FD5149">
            <w:pPr>
              <w:jc w:val="both"/>
              <w:rPr>
                <w:b/>
                <w:sz w:val="18"/>
                <w:szCs w:val="24"/>
              </w:rPr>
            </w:pPr>
            <w:r>
              <w:t>Reuniones de coordinación, documentación del modelo de datos</w:t>
            </w:r>
          </w:p>
        </w:tc>
        <w:tc>
          <w:tcPr>
            <w:tcW w:w="1276" w:type="dxa"/>
          </w:tcPr>
          <w:p w14:paraId="66A5D860" w14:textId="77777777" w:rsidR="00FD5149" w:rsidRPr="006E3B0D" w:rsidRDefault="00FD5149" w:rsidP="00FD5149">
            <w:pPr>
              <w:jc w:val="both"/>
              <w:rPr>
                <w:b/>
                <w:sz w:val="18"/>
                <w:szCs w:val="24"/>
              </w:rPr>
            </w:pPr>
            <w:r>
              <w:t>Transversal (todo el semestre)</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Vicente Suazo, 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Dependencia de un equipo externo a la asignatura (otra institución)</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En curso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Se agregó una instancia de coordinación semanal con el equipo Dani 9001 UTEM</w:t>
            </w:r>
          </w:p>
        </w:tc>
      </w:tr>
      <w:tr w:rsidR="00FD5149" w:rsidRPr="006E3B0D" w14:paraId="0D4FAAA2" w14:textId="77777777" w:rsidTr="00EA0C09">
        <w:trPr/>
        <w:tc>
          <w:tcPr>
            <w:tcW w:w="1328" w:type="dxa"/>
          </w:tcPr>
          <w:p w14:paraId="29F01B29" w14:textId="77777777" w:rsidR="00FD5149" w:rsidRPr="006E3B0D" w:rsidRDefault="00FD5149" w:rsidP="00FD5149">
            <w:pPr>
              <w:jc w:val="both"/>
              <w:rPr>
                <w:b/>
                <w:sz w:val="18"/>
                <w:szCs w:val="24"/>
              </w:rPr>
            </w:pPr>
            <w:r>
              <w:t>Realizar pruebas de certificación</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t>Diseñar y ejecutar pruebas sobre la generación de documentos personalizados</w:t>
            </w:r>
          </w:p>
        </w:tc>
        <w:tc>
          <w:tcPr>
            <w:tcW w:w="1276" w:type="dxa"/>
          </w:tcPr>
          <w:p w14:paraId="16E191DF" w14:textId="77777777" w:rsidR="00FD5149" w:rsidRPr="006E3B0D" w:rsidRDefault="00FD5149" w:rsidP="00FD5149">
            <w:pPr>
              <w:jc w:val="both"/>
              <w:rPr>
                <w:b/>
                <w:sz w:val="18"/>
                <w:szCs w:val="24"/>
              </w:rPr>
            </w:pPr>
            <w:r>
              <w:t>Casos de prueba, documentos de ejemplo</w:t>
            </w:r>
          </w:p>
        </w:tc>
        <w:tc>
          <w:tcPr>
            <w:tcW w:w="1276" w:type="dxa"/>
          </w:tcPr>
          <w:p w14:paraId="66A5D860" w14:textId="77777777" w:rsidR="00FD5149" w:rsidRPr="006E3B0D" w:rsidRDefault="00FD5149" w:rsidP="00FD5149">
            <w:pPr>
              <w:jc w:val="both"/>
              <w:rPr>
                <w:b/>
                <w:sz w:val="18"/>
                <w:szCs w:val="24"/>
              </w:rPr>
            </w:pPr>
            <w:r>
              <w:t>Sprint 5 (2 semanas)</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t>Andrea Santana</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t>Sin observaciones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t>No iniciado</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14:paraId="17CE44DE" w14:textId="77777777" w:rsidR="0003309E" w:rsidRPr="00371CBB" w:rsidRDefault="0003309E" w:rsidP="00C5122E">
            <w:pPr>
              <w:jc w:val="both"/>
              <w:rPr>
                <w:rFonts w:ascii="Calibri" w:hAnsi="Calibri" w:cs="Arial"/>
                <w:i/>
                <w:iCs/>
                <w:color w:val="548DD4"/>
                <w:sz w:val="20"/>
                <w:szCs w:val="20"/>
                <w:lang w:eastAsia="es-CL"/>
              </w:rPr>
            </w:pPr>
            <w:r>
              <w:rPr>
                <w:b/>
              </w:rPr>
              <w:t xml:space="preserve">Factores que han facilitado y/o dificultado el desarrollo de mi plan de trabajo: </w:t>
            </w:r>
          </w:p>
          <w:p>
            <w:r>
              <w:t>Entre los facilitadores destaca contar, a partir de esta fase, con un Documento de Alcance de Desarrollo formal y acotado por el mandante, que reemplazó la ambigüedad de la ficha general inicial; también ayudó mantener Scrum con revisiones semanales, lo que permitió detectar a tiempo que el alcance debía precisarse. Entre las dificultades, el volumen de componentes a cubrir (más de 200 en total, cruzando varias normativas) resultó mayor al estimado inicialmente, por lo que el equipo decidió priorizar estrictamente por framework, comenzando por ISO 27001. Otra dificultad es la dependencia de un equipo externo a la asignatura (Dani 9001 UTEM) para el modelo de datos compartido; para abordarla, se incorporó una instancia de coordinación semanal con ese equipo dentro del ciclo de Scrum.</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Pr>
                <w:b/>
              </w:rPr>
              <w:t xml:space="preserve">Actividades ajustadas o eliminadas: </w:t>
            </w:r>
          </w:p>
          <w:p>
            <w:r>
              <w:t>Se ajustó el objetivo general del proyecto: en lugar de implementar únicamente un módulo aislado para ISO/IEC 42001 (como señalaba la ficha inicial), el equipo ahora desarrolla una capa de personalización de componentes aplicable a múltiples frameworks normativos, por instrucción directa de la empresa mandante. Este ajuste no elimina trabajo ya planificado: todo lo relativo a ISO 42001 sigue vigente, pero pasa a ser uno de los frameworks a cubrir según la hoja de ruta de prioridades (ISO 27001 → ISO 9001 → ISO 42001 → GDPR → SOC 2 → PCI DSS).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Pr>
                <w:b/>
              </w:rPr>
              <w:t xml:space="preserve">Actividades que no has iniciado o están retrasadas: </w:t>
            </w:r>
          </w:p>
          <w:p>
            <w:r>
              <w:t>El diseño del prompt para el LLM y la lógica de reutilización de componentes entre normativas aún no se inician, porque ambas actividades dependen de tener primero cerrados el documento maestro y las preguntas de configuración de los componentes base de ISO 27001. El equipo planea abordarlas en los sprints 3 y 4, una vez completado el levantamiento de dichos componentes.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