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680" w:after="80"/>
      </w:pPr>
      <w:r>
        <w:rPr>
          <w:b/>
          <w:color w:val="2E74B5"/>
          <w:sz w:val="20"/>
        </w:rPr>
        <w:t>GUIA OPERACIONAL</w:t>
      </w:r>
    </w:p>
    <w:p>
      <w:pPr>
        <w:pStyle w:val="Title"/>
        <w:widowControl/>
      </w:pPr>
      <w:r>
        <w:t>Conectar o Power BI ao Oracle Autonomous Database</w:t>
      </w:r>
    </w:p>
    <w:p>
      <w:pPr>
        <w:pStyle w:val="Subtitle"/>
        <w:widowControl/>
      </w:pPr>
      <w:r>
        <w:t>Enterprise Challenge • Internações hospitalares nos municípios de São Paulo • Base 2025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63A5F"/>
              </w:rPr>
              <w:t xml:space="preserve">Público: </w:t>
            </w:r>
            <w:r>
              <w:t>Integrantes responsáveis pelo dashboard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63A5F"/>
              </w:rPr>
              <w:t xml:space="preserve">Modo recomendado: </w:t>
            </w:r>
            <w:r>
              <w:t>Power BI Desktop • Importação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63A5F"/>
              </w:rPr>
              <w:t xml:space="preserve">Fonte: </w:t>
            </w:r>
            <w:r>
              <w:t>Oracle Autonomous Database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63A5F"/>
              </w:rPr>
              <w:t xml:space="preserve">Objetos: </w:t>
            </w:r>
            <w:r>
              <w:t>3 views no esquema ADMIN</w:t>
            </w:r>
          </w:p>
        </w:tc>
      </w:tr>
    </w:tbl>
    <w:p>
      <w:pPr>
        <w:widowControl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F3EC"/>
          </w:tcPr>
          <w:p>
            <w:pPr>
              <w:spacing w:after="40"/>
            </w:pPr>
            <w:r>
              <w:rPr>
                <w:b/>
                <w:color w:val="163A5F"/>
              </w:rPr>
              <w:t xml:space="preserve">Objetivo. </w:t>
            </w:r>
            <w:r>
              <w:t>Ao final deste guia, o integrante conseguirá conectar o Power BI Desktop ao banco Oracle, importar as views autorizadas e validar as 3.924 observações do projeto.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Antes de começar</w:t>
      </w:r>
    </w:p>
    <w:p>
      <w:pPr>
        <w:widowControl/>
      </w:pPr>
      <w:r>
        <w:t>O acesso ao SQL pelo navegador e a conexão do Power BI são etapas diferentes. A conta individual já permite consultar as views; para o Power BI, também será necessário configurar a conexão Oracle no computador Windows.</w:t>
      </w:r>
    </w:p>
    <w:p>
      <w:pPr>
        <w:pStyle w:val="Heading2"/>
        <w:widowControl/>
      </w:pPr>
      <w:r>
        <w:t>Itens que o administrador enviará em particular</w:t>
      </w:r>
    </w:p>
    <w:p>
      <w:pPr>
        <w:widowControl/>
        <w:spacing w:after="80"/>
        <w:ind w:left="259" w:hanging="259"/>
      </w:pPr>
      <w:r>
        <w:rPr>
          <w:rFonts w:ascii="DejaVu Sans" w:hAnsi="DejaVu Sans"/>
        </w:rPr>
        <w:t xml:space="preserve">☐ </w:t>
      </w:r>
      <w:r>
        <w:t>Arquivo ZIP da wallet do Autonomous Database.</w:t>
      </w:r>
    </w:p>
    <w:p>
      <w:pPr>
        <w:widowControl/>
        <w:spacing w:after="80"/>
        <w:ind w:left="259" w:hanging="259"/>
      </w:pPr>
      <w:r>
        <w:rPr>
          <w:rFonts w:ascii="DejaVu Sans" w:hAnsi="DejaVu Sans"/>
        </w:rPr>
        <w:t xml:space="preserve">☐ </w:t>
      </w:r>
      <w:r>
        <w:t>Senha da wallet, enviada por canal separado.</w:t>
      </w:r>
    </w:p>
    <w:p>
      <w:pPr>
        <w:widowControl/>
        <w:spacing w:after="80"/>
        <w:ind w:left="259" w:hanging="259"/>
      </w:pPr>
      <w:r>
        <w:rPr>
          <w:rFonts w:ascii="DejaVu Sans" w:hAnsi="DejaVu Sans"/>
        </w:rPr>
        <w:t xml:space="preserve">☐ </w:t>
      </w:r>
      <w:r>
        <w:t>Nome de usuário individual do banco: RM569572, RM572011 ou RM560459.</w:t>
      </w:r>
    </w:p>
    <w:p>
      <w:pPr>
        <w:widowControl/>
        <w:spacing w:after="80"/>
        <w:ind w:left="259" w:hanging="259"/>
      </w:pPr>
      <w:r>
        <w:rPr>
          <w:rFonts w:ascii="DejaVu Sans" w:hAnsi="DejaVu Sans"/>
        </w:rPr>
        <w:t xml:space="preserve">☐ </w:t>
      </w:r>
      <w:r>
        <w:t>Senha pessoal atual do banco de dados.</w:t>
      </w:r>
    </w:p>
    <w:p>
      <w:pPr>
        <w:widowControl/>
        <w:spacing w:after="80"/>
        <w:ind w:left="259" w:hanging="259"/>
      </w:pPr>
      <w:r>
        <w:rPr>
          <w:rFonts w:ascii="DejaVu Sans" w:hAnsi="DejaVu Sans"/>
        </w:rPr>
        <w:t xml:space="preserve">☐ </w:t>
      </w:r>
      <w:r>
        <w:t>Nome do serviço/TNS recomendado, normalmente terminado em _low.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pPr>
              <w:spacing w:after="40"/>
            </w:pPr>
            <w:r>
              <w:rPr>
                <w:b/>
                <w:color w:val="163A5F"/>
              </w:rPr>
              <w:t xml:space="preserve">Segurança. </w:t>
            </w:r>
            <w:r>
              <w:t>Não envie senha em grupo, captura de tela, documento compartilhado ou arquivo PBIX. A wallet não substitui a senha individual do banco.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Etapa 1 — Confirmar o acesso aos dados no navegador</w:t>
      </w:r>
    </w:p>
    <w:p>
      <w:pPr>
        <w:widowControl/>
      </w:pPr>
      <w:r>
        <w:t>Antes de configurar o Power BI, abra o link individual do Database Actions, acesse SQL e execute o teste abaixo.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SELECT COUNT(*) AS total_linhas</w:t>
            </w:r>
            <w:r>
              <w:br/>
            </w:r>
            <w:r>
              <w:rPr>
                <w:rFonts w:ascii="Consolas" w:hAnsi="Consolas"/>
                <w:sz w:val="19"/>
              </w:rPr>
              <w:t>FROM ADMIN.VW_INTERNACOES_DASHBOARD;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Resultado esperado: 3.924 linhas. Em seguida, visualize uma amostra: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SELECT *</w:t>
            </w:r>
            <w:r>
              <w:br/>
            </w:r>
            <w:r>
              <w:rPr>
                <w:rFonts w:ascii="Consolas" w:hAnsi="Consolas"/>
                <w:sz w:val="19"/>
              </w:rPr>
              <w:t>FROM ADMIN.VW_INTERNACOES_DASHBOARD</w:t>
            </w:r>
            <w:r>
              <w:br/>
            </w:r>
            <w:r>
              <w:rPr>
                <w:rFonts w:ascii="Consolas" w:hAnsi="Consolas"/>
                <w:sz w:val="19"/>
              </w:rPr>
              <w:t>FETCH FIRST 10 ROWS ONLY;</w:t>
            </w:r>
          </w:p>
        </w:tc>
      </w:tr>
    </w:tbl>
    <w:p>
      <w:pPr>
        <w:widowControl/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b/>
                <w:color w:val="163A5F"/>
              </w:rPr>
              <w:t xml:space="preserve">Atenção. </w:t>
            </w:r>
            <w:r>
              <w:t>Use sempre o prefixo ADMIN. antes do nome das views. A área Data Studio não é necessária e pode mostrar ORA-01031 sem impedir o uso do SQL ou do Power BI.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Etapa 2 — Instalar o Power BI Desktop</w:t>
      </w:r>
    </w:p>
    <w:p>
      <w:pPr>
        <w:pStyle w:val="ListNumber"/>
        <w:widowControl/>
        <w:spacing w:after="80" w:line="300" w:lineRule="auto"/>
      </w:pPr>
      <w:r>
        <w:t>No Windows, confirme se o sistema é de 64 bits.</w:t>
      </w:r>
    </w:p>
    <w:p>
      <w:pPr>
        <w:pStyle w:val="ListNumber"/>
        <w:widowControl/>
        <w:spacing w:after="80" w:line="300" w:lineRule="auto"/>
      </w:pPr>
      <w:r>
        <w:t>Instale a versão de 64 bits do Power BI Desktop pela Microsoft Store ou pelo site oficial.</w:t>
      </w:r>
    </w:p>
    <w:p>
      <w:pPr>
        <w:pStyle w:val="ListNumber"/>
        <w:widowControl/>
        <w:spacing w:after="80" w:line="300" w:lineRule="auto"/>
      </w:pPr>
      <w:r>
        <w:t>Abra o Power BI e consulte Arquivo &gt; Sobre para confirmar a arquitetura de 64 bits.</w:t>
      </w:r>
    </w:p>
    <w:p>
      <w:pPr>
        <w:widowControl/>
      </w:pPr>
      <w:r>
        <w:rPr>
          <w:b/>
        </w:rPr>
        <w:t xml:space="preserve">Página oficial: </w:t>
      </w:r>
      <w:hyperlink r:id="rId11">
        <w:r>
          <w:rPr>
            <w:color w:val="2E74B5"/>
            <w:u w:val="single"/>
          </w:rPr>
          <w:t>Power BI Desktop</w:t>
        </w:r>
      </w:hyperlink>
    </w:p>
    <w:p>
      <w:pPr>
        <w:pStyle w:val="Heading1"/>
        <w:widowControl/>
      </w:pPr>
      <w:r>
        <w:t>Etapa 3 — Instalar o Oracle Client for Microsoft Tools (OCMT)</w:t>
      </w:r>
    </w:p>
    <w:p>
      <w:pPr>
        <w:widowControl/>
      </w:pPr>
      <w:r>
        <w:t>Este é o método mais estável para a equipe. O Power BI também possui um provedor Oracle integrado em prévia, mas este guia utiliza o OCMT para manter a configuração padronizada.</w:t>
      </w:r>
    </w:p>
    <w:p>
      <w:pPr>
        <w:pStyle w:val="ListNumber"/>
        <w:widowControl/>
        <w:spacing w:after="80" w:line="300" w:lineRule="auto"/>
      </w:pPr>
      <w:r>
        <w:t>Baixe o Oracle Client for Microsoft Tools de 64 bits.</w:t>
      </w:r>
    </w:p>
    <w:p>
      <w:pPr>
        <w:pStyle w:val="ListNumber"/>
        <w:widowControl/>
        <w:spacing w:after="80" w:line="300" w:lineRule="auto"/>
      </w:pPr>
      <w:r>
        <w:t>Execute o instalador como usuário autorizado do Windows.</w:t>
      </w:r>
    </w:p>
    <w:p>
      <w:pPr>
        <w:pStyle w:val="ListNumber"/>
        <w:widowControl/>
        <w:spacing w:after="80" w:line="300" w:lineRule="auto"/>
      </w:pPr>
      <w:r>
        <w:t>Mantenha os componentes ODP.NET recomendados para Power BI.</w:t>
      </w:r>
    </w:p>
    <w:p>
      <w:pPr>
        <w:pStyle w:val="ListNumber"/>
        <w:widowControl/>
        <w:spacing w:after="80" w:line="300" w:lineRule="auto"/>
      </w:pPr>
      <w:r>
        <w:t>Conclua a instalação e reinicie o computador se o instalador solicitar.</w:t>
      </w:r>
    </w:p>
    <w:p>
      <w:pPr>
        <w:widowControl/>
      </w:pPr>
      <w:r>
        <w:rPr>
          <w:b/>
        </w:rPr>
        <w:t xml:space="preserve">Documentação oficial: </w:t>
      </w:r>
      <w:hyperlink r:id="rId12">
        <w:r>
          <w:rPr>
            <w:color w:val="2E74B5"/>
            <w:u w:val="single"/>
          </w:rPr>
          <w:t>Oracle Client for Microsoft Tools</w:t>
        </w:r>
      </w:hyperlink>
    </w:p>
    <w:p>
      <w:pPr>
        <w:pStyle w:val="Heading1"/>
        <w:widowControl/>
      </w:pPr>
      <w:r>
        <w:t>Etapa 4 — Configurar a wallet</w:t>
      </w:r>
    </w:p>
    <w:p>
      <w:pPr>
        <w:pStyle w:val="ListNumber"/>
        <w:widowControl/>
        <w:spacing w:after="80" w:line="300" w:lineRule="auto"/>
      </w:pPr>
      <w:r>
        <w:t>Crie uma pasta local exclusiva, por exemplo: C:\Oracle\Wallet_FIAP.</w:t>
      </w:r>
    </w:p>
    <w:p>
      <w:pPr>
        <w:pStyle w:val="ListNumber"/>
        <w:widowControl/>
        <w:spacing w:after="80" w:line="300" w:lineRule="auto"/>
      </w:pPr>
      <w:r>
        <w:t>Copie o arquivo ZIP recebido para essa pasta e extraia todo o conteúdo.</w:t>
      </w:r>
    </w:p>
    <w:p>
      <w:pPr>
        <w:pStyle w:val="ListNumber"/>
        <w:widowControl/>
        <w:spacing w:after="80" w:line="300" w:lineRule="auto"/>
      </w:pPr>
      <w:r>
        <w:t>No assistente do OCMT, indique a pasta extraída como diretório de configuração de rede/TNS.</w:t>
      </w:r>
    </w:p>
    <w:p>
      <w:pPr>
        <w:pStyle w:val="ListNumber"/>
        <w:widowControl/>
        <w:spacing w:after="80" w:line="300" w:lineRule="auto"/>
      </w:pPr>
      <w:r>
        <w:t>Quando solicitado, informe a senha da wallet recebida do administrador.</w:t>
      </w:r>
    </w:p>
    <w:p>
      <w:pPr>
        <w:pStyle w:val="ListNumber"/>
        <w:widowControl/>
        <w:spacing w:after="80" w:line="300" w:lineRule="auto"/>
      </w:pPr>
      <w:r>
        <w:t>Conclua a configuração e reabra o Power BI Desktop.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CE8E6"/>
          </w:tcPr>
          <w:p>
            <w:pPr>
              <w:spacing w:after="40"/>
            </w:pPr>
            <w:r>
              <w:rPr>
                <w:b/>
                <w:color w:val="163A5F"/>
              </w:rPr>
              <w:t xml:space="preserve">Não altere os arquivos. </w:t>
            </w:r>
            <w:r>
              <w:t>Não renomeie nem edite tnsnames.ora, sqlnet.ora, cwallet.sso ou os demais arquivos da wallet.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Etapa 5 — Conectar o Power BI ao Oracle</w:t>
      </w:r>
    </w:p>
    <w:p>
      <w:pPr>
        <w:pStyle w:val="ListNumber"/>
        <w:widowControl/>
        <w:spacing w:after="80" w:line="300" w:lineRule="auto"/>
      </w:pPr>
      <w:r>
        <w:t>No Power BI Desktop, selecione Página Inicial &gt; Obter dados &gt; Mais.</w:t>
      </w:r>
    </w:p>
    <w:p>
      <w:pPr>
        <w:pStyle w:val="ListNumber"/>
        <w:widowControl/>
        <w:spacing w:after="80" w:line="300" w:lineRule="auto"/>
      </w:pPr>
      <w:r>
        <w:t>Procure por Oracle e escolha Banco de dados Oracle.</w:t>
      </w:r>
    </w:p>
    <w:p>
      <w:pPr>
        <w:pStyle w:val="ListNumber"/>
        <w:widowControl/>
        <w:spacing w:after="80" w:line="300" w:lineRule="auto"/>
      </w:pPr>
      <w:r>
        <w:t>No campo Servidor, informe o alias TNS repassado pelo administrador, preferencialmente o serviço terminado em _low.</w:t>
      </w:r>
    </w:p>
    <w:p>
      <w:pPr>
        <w:pStyle w:val="ListNumber"/>
        <w:widowControl/>
        <w:spacing w:after="80" w:line="300" w:lineRule="auto"/>
      </w:pPr>
      <w:r>
        <w:t>Selecione o modo Importar para o MVP.</w:t>
      </w:r>
    </w:p>
    <w:p>
      <w:pPr>
        <w:pStyle w:val="ListNumber"/>
        <w:widowControl/>
        <w:spacing w:after="80" w:line="300" w:lineRule="auto"/>
      </w:pPr>
      <w:r>
        <w:t>Clique em OK. Na autenticação, escolha Banco de dados/Básica.</w:t>
      </w:r>
    </w:p>
    <w:p>
      <w:pPr>
        <w:pStyle w:val="ListNumber"/>
        <w:widowControl/>
        <w:spacing w:after="80" w:line="300" w:lineRule="auto"/>
      </w:pPr>
      <w:r>
        <w:t>Digite o usuário RM individual e a senha pessoal atual do banco.</w:t>
      </w:r>
    </w:p>
    <w:p>
      <w:pPr>
        <w:pStyle w:val="ListNumber"/>
        <w:widowControl/>
        <w:spacing w:after="80" w:line="300" w:lineRule="auto"/>
      </w:pPr>
      <w:r>
        <w:t>Se for exibida uma opção de nível de credencial, aplique-a ao endereço completo do banco.</w:t>
      </w:r>
    </w:p>
    <w:p>
      <w:pPr>
        <w:pStyle w:val="Heading1"/>
        <w:widowControl/>
      </w:pPr>
      <w:r>
        <w:t>Etapa 6 — Selecionar as views</w:t>
      </w:r>
    </w:p>
    <w:p>
      <w:pPr>
        <w:widowControl/>
      </w:pPr>
      <w:r>
        <w:t>No Navegador do Power BI, expanda o esquema ADMIN e marque:</w:t>
      </w:r>
    </w:p>
    <w:p>
      <w:pPr>
        <w:pStyle w:val="ListBullet"/>
        <w:widowControl/>
        <w:spacing w:after="80" w:line="300" w:lineRule="auto"/>
      </w:pPr>
      <w:r>
        <w:t>VW_INTERNACOES_DASHBOARD — base detalhada com 3.924 linhas.</w:t>
      </w:r>
    </w:p>
    <w:p>
      <w:pPr>
        <w:pStyle w:val="ListBullet"/>
        <w:widowControl/>
        <w:spacing w:after="80" w:line="300" w:lineRule="auto"/>
      </w:pPr>
      <w:r>
        <w:t>VW_INTERNACOES_MENSAIS — 12 totais mensais.</w:t>
      </w:r>
    </w:p>
    <w:p>
      <w:pPr>
        <w:pStyle w:val="ListBullet"/>
        <w:widowControl/>
        <w:spacing w:after="80" w:line="300" w:lineRule="auto"/>
      </w:pPr>
      <w:r>
        <w:t>VW_RANKING_MUNICIPIOS — 327 municípios.</w:t>
      </w:r>
    </w:p>
    <w:p>
      <w:pPr>
        <w:widowControl/>
      </w:pPr>
      <w:r>
        <w:t>Selecione Carregar. Use Transformar dados apenas se houver uma necessidade claramente identificada; as views já foram preparadas para o dashboard.</w:t>
      </w:r>
    </w:p>
    <w:p>
      <w:pPr>
        <w:pStyle w:val="Heading1"/>
        <w:widowControl/>
      </w:pPr>
      <w:r>
        <w:t>Etapa 7 — Validar a importação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100"/>
        <w:gridCol w:w="2060"/>
        <w:gridCol w:w="3200"/>
      </w:tblGrid>
      <w:tr>
        <w:trPr>
          <w:tblHeader w:val="true"/>
        </w:trPr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  <w:color w:val="163A5F"/>
              </w:rPr>
              <w:t>View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  <w:color w:val="163A5F"/>
              </w:rPr>
              <w:t>Linhas esperadas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  <w:color w:val="163A5F"/>
              </w:rPr>
              <w:t>Uso principal</w:t>
            </w:r>
          </w:p>
        </w:tc>
      </w:tr>
      <w:t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VW_INTERNACOES_DASHBOARD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t>3.924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Filtros e análises detalhadas</w:t>
            </w:r>
          </w:p>
        </w:tc>
      </w:tr>
      <w:t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VW_INTERNACOES_MENSAIS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t>12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Tendência mensal</w:t>
            </w:r>
          </w:p>
        </w:tc>
      </w:tr>
      <w:t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VW_RANKING_MUNICIPIOS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t>327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Ranking e mapa</w:t>
            </w:r>
          </w:p>
        </w:tc>
      </w:tr>
    </w:tbl>
    <w:p>
      <w:pPr>
        <w:pStyle w:val="Heading1"/>
        <w:widowControl/>
      </w:pPr>
      <w:r>
        <w:t>Etapa 8 — Montar o MVP do dashboard</w:t>
      </w:r>
    </w:p>
    <w:p>
      <w:pPr>
        <w:widowControl/>
      </w:pPr>
      <w:r>
        <w:t>Estrutura mínima sugerida para a primeira página:</w:t>
      </w:r>
    </w:p>
    <w:p>
      <w:pPr>
        <w:pStyle w:val="ListBullet"/>
        <w:widowControl/>
        <w:spacing w:after="80" w:line="300" w:lineRule="auto"/>
      </w:pPr>
      <w:r>
        <w:t>Cartão: total de internações em 2025.</w:t>
      </w:r>
    </w:p>
    <w:p>
      <w:pPr>
        <w:pStyle w:val="ListBullet"/>
        <w:widowControl/>
        <w:spacing w:after="80" w:line="300" w:lineRule="auto"/>
      </w:pPr>
      <w:r>
        <w:t>Gráfico de linha: total de internações por mês.</w:t>
      </w:r>
    </w:p>
    <w:p>
      <w:pPr>
        <w:pStyle w:val="ListBullet"/>
        <w:widowControl/>
        <w:spacing w:after="80" w:line="300" w:lineRule="auto"/>
      </w:pPr>
      <w:r>
        <w:t>Gráfico de barras: ranking dos municípios.</w:t>
      </w:r>
    </w:p>
    <w:p>
      <w:pPr>
        <w:pStyle w:val="ListBullet"/>
        <w:widowControl/>
        <w:spacing w:after="80" w:line="300" w:lineRule="auto"/>
      </w:pPr>
      <w:r>
        <w:t>Mapa: internações por município do estado de São Paulo.</w:t>
      </w:r>
    </w:p>
    <w:p>
      <w:pPr>
        <w:pStyle w:val="ListBullet"/>
        <w:widowControl/>
        <w:spacing w:after="80" w:line="300" w:lineRule="auto"/>
      </w:pPr>
      <w:r>
        <w:t>Segmentações: município e mês.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F3EC"/>
          </w:tcPr>
          <w:p>
            <w:pPr>
              <w:spacing w:after="40"/>
            </w:pPr>
            <w:r>
              <w:rPr>
                <w:b/>
                <w:color w:val="163A5F"/>
              </w:rPr>
              <w:t xml:space="preserve">Organização da equipe. </w:t>
            </w:r>
            <w:r>
              <w:t>Uma pessoa deve manter o arquivo PBIX principal. Arquivos PBIX separados não são mesclados automaticamente. Os demais integrantes podem propor medidas, visuais e páginas, mas o arquivo mestre deve ter um responsável.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Solução rápida de problemas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1EA"/>
          <w:left w:val="single" w:sz="4" w:space="0" w:color="D9E1EA"/>
          <w:bottom w:val="single" w:sz="4" w:space="0" w:color="D9E1EA"/>
          <w:right w:val="single" w:sz="4" w:space="0" w:color="D9E1EA"/>
          <w:insideH w:val="single" w:sz="4" w:space="0" w:color="D9E1EA"/>
          <w:insideV w:val="single" w:sz="4" w:space="0" w:color="D9E1EA"/>
        </w:tblBorders>
      </w:tblPr>
      <w:tblGrid>
        <w:gridCol w:w="2200"/>
        <w:gridCol w:w="3260"/>
        <w:gridCol w:w="390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63A5F"/>
              </w:rPr>
              <w:t>Sintoma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63A5F"/>
              </w:rPr>
              <w:t>Causa provável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63A5F"/>
              </w:rPr>
              <w:t>Ação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sz w:val="18"/>
              </w:rPr>
              <w:t>Oracle não aparece no Power BI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sz w:val="18"/>
              </w:rPr>
              <w:t>OCMT ausente ou arquitetura incompatível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sz w:val="18"/>
              </w:rPr>
              <w:t>Instalar OCMT 64 bits e reiniciar o Power BI.</w:t>
            </w:r>
          </w:p>
        </w:tc>
      </w:tr>
      <w:tr>
        <w:tc>
          <w:tcPr>
            <w:tcW w:type="dxa" w:w="22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sz w:val="18"/>
              </w:rPr>
              <w:t>Alias/TNS não é encontrado</w:t>
            </w:r>
          </w:p>
        </w:tc>
        <w:tc>
          <w:tcPr>
            <w:tcW w:type="dxa" w:w="326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sz w:val="18"/>
              </w:rPr>
              <w:t>Wallet não configurada</w:t>
            </w:r>
          </w:p>
        </w:tc>
        <w:tc>
          <w:tcPr>
            <w:tcW w:type="dxa" w:w="39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sz w:val="18"/>
              </w:rPr>
              <w:t>Revisar a pasta da wallet e o TNS no OCMT.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sz w:val="18"/>
              </w:rPr>
              <w:t>Credenciais inválidas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sz w:val="18"/>
              </w:rPr>
              <w:t>Senha incorreta ou conta bloqueada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sz w:val="18"/>
              </w:rPr>
              <w:t>Parar tentativas e solicitar desbloqueio ao administrador.</w:t>
            </w:r>
          </w:p>
        </w:tc>
      </w:tr>
      <w:tr>
        <w:tc>
          <w:tcPr>
            <w:tcW w:type="dxa" w:w="22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sz w:val="18"/>
              </w:rPr>
              <w:t>Views não aparecem</w:t>
            </w:r>
          </w:p>
        </w:tc>
        <w:tc>
          <w:tcPr>
            <w:tcW w:type="dxa" w:w="326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sz w:val="18"/>
              </w:rPr>
              <w:t>Navegação no esquema pessoal</w:t>
            </w:r>
          </w:p>
        </w:tc>
        <w:tc>
          <w:tcPr>
            <w:tcW w:type="dxa" w:w="39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sz w:val="18"/>
              </w:rPr>
              <w:t>Expandir ADMIN ou usar uma instrução SQL avançada.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sz w:val="18"/>
              </w:rPr>
              <w:t>ORA-01031 no Data Studio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sz w:val="18"/>
              </w:rPr>
              <w:t>Ferramenta sem privilégio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sz w:val="18"/>
              </w:rPr>
              <w:t>Ignorar o Data Studio; usar SQL e Power BI.</w:t>
            </w:r>
          </w:p>
        </w:tc>
      </w:tr>
      <w:tr>
        <w:tc>
          <w:tcPr>
            <w:tcW w:type="dxa" w:w="22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sz w:val="18"/>
              </w:rPr>
              <w:t>Mapa localiza cidades erradas</w:t>
            </w:r>
          </w:p>
        </w:tc>
        <w:tc>
          <w:tcPr>
            <w:tcW w:type="dxa" w:w="326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sz w:val="18"/>
              </w:rPr>
              <w:t>Ambiguidade geográfica</w:t>
            </w:r>
          </w:p>
        </w:tc>
        <w:tc>
          <w:tcPr>
            <w:tcW w:type="dxa" w:w="39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sz w:val="18"/>
              </w:rPr>
              <w:t>Usar MUNICIPIO, UF = SP e PAIS = Brasil.</w:t>
            </w:r>
          </w:p>
        </w:tc>
      </w:tr>
    </w:tbl>
    <w:p>
      <w:pPr>
        <w:pStyle w:val="Heading1"/>
        <w:widowControl/>
      </w:pPr>
      <w:r>
        <w:t>Checklist de conclusão</w:t>
      </w:r>
    </w:p>
    <w:p>
      <w:pPr>
        <w:widowControl/>
        <w:spacing w:after="80"/>
        <w:ind w:left="259" w:hanging="259"/>
      </w:pPr>
      <w:r>
        <w:rPr>
          <w:rFonts w:ascii="DejaVu Sans" w:hAnsi="DejaVu Sans"/>
        </w:rPr>
        <w:t xml:space="preserve">☐ </w:t>
      </w:r>
      <w:r>
        <w:t>A consulta no Database Actions retornou 3.924 linhas.</w:t>
      </w:r>
    </w:p>
    <w:p>
      <w:pPr>
        <w:widowControl/>
        <w:spacing w:after="80"/>
        <w:ind w:left="259" w:hanging="259"/>
      </w:pPr>
      <w:r>
        <w:rPr>
          <w:rFonts w:ascii="DejaVu Sans" w:hAnsi="DejaVu Sans"/>
        </w:rPr>
        <w:t xml:space="preserve">☐ </w:t>
      </w:r>
      <w:r>
        <w:t>Power BI Desktop 64 bits está instalado.</w:t>
      </w:r>
    </w:p>
    <w:p>
      <w:pPr>
        <w:widowControl/>
        <w:spacing w:after="80"/>
        <w:ind w:left="259" w:hanging="259"/>
      </w:pPr>
      <w:r>
        <w:rPr>
          <w:rFonts w:ascii="DejaVu Sans" w:hAnsi="DejaVu Sans"/>
        </w:rPr>
        <w:t xml:space="preserve">☐ </w:t>
      </w:r>
      <w:r>
        <w:t>OCMT 64 bits está instalado e configurado.</w:t>
      </w:r>
    </w:p>
    <w:p>
      <w:pPr>
        <w:widowControl/>
        <w:spacing w:after="80"/>
        <w:ind w:left="259" w:hanging="259"/>
      </w:pPr>
      <w:r>
        <w:rPr>
          <w:rFonts w:ascii="DejaVu Sans" w:hAnsi="DejaVu Sans"/>
        </w:rPr>
        <w:t xml:space="preserve">☐ </w:t>
      </w:r>
      <w:r>
        <w:t>A wallet está salva em pasta protegida.</w:t>
      </w:r>
    </w:p>
    <w:p>
      <w:pPr>
        <w:widowControl/>
        <w:spacing w:after="80"/>
        <w:ind w:left="259" w:hanging="259"/>
      </w:pPr>
      <w:r>
        <w:rPr>
          <w:rFonts w:ascii="DejaVu Sans" w:hAnsi="DejaVu Sans"/>
        </w:rPr>
        <w:t xml:space="preserve">☐ </w:t>
      </w:r>
      <w:r>
        <w:t>A conexão Oracle foi criada em modo Importar.</w:t>
      </w:r>
    </w:p>
    <w:p>
      <w:pPr>
        <w:widowControl/>
        <w:spacing w:after="80"/>
        <w:ind w:left="259" w:hanging="259"/>
      </w:pPr>
      <w:r>
        <w:rPr>
          <w:rFonts w:ascii="DejaVu Sans" w:hAnsi="DejaVu Sans"/>
        </w:rPr>
        <w:t xml:space="preserve">☐ </w:t>
      </w:r>
      <w:r>
        <w:t>As três views do esquema ADMIN foram carregadas.</w:t>
      </w:r>
    </w:p>
    <w:p>
      <w:pPr>
        <w:widowControl/>
        <w:spacing w:after="80"/>
        <w:ind w:left="259" w:hanging="259"/>
      </w:pPr>
      <w:r>
        <w:rPr>
          <w:rFonts w:ascii="DejaVu Sans" w:hAnsi="DejaVu Sans"/>
        </w:rPr>
        <w:t xml:space="preserve">☐ </w:t>
      </w:r>
      <w:r>
        <w:t>Os totais de 3.924, 327 e 12 foram confirmados.</w:t>
      </w:r>
    </w:p>
    <w:p>
      <w:pPr>
        <w:widowControl/>
        <w:spacing w:after="80"/>
        <w:ind w:left="259" w:hanging="259"/>
      </w:pPr>
      <w:r>
        <w:rPr>
          <w:rFonts w:ascii="DejaVu Sans" w:hAnsi="DejaVu Sans"/>
        </w:rPr>
        <w:t xml:space="preserve">☐ </w:t>
      </w:r>
      <w:r>
        <w:t>O arquivo PBIX mestre foi salvo com responsável definido.</w:t>
      </w:r>
    </w:p>
    <w:p>
      <w:pPr>
        <w:pStyle w:val="Heading1"/>
        <w:widowControl/>
      </w:pPr>
      <w:r>
        <w:t>Referências oficiais</w:t>
      </w:r>
    </w:p>
    <w:p>
      <w:pPr>
        <w:widowControl/>
      </w:pPr>
      <w:hyperlink r:id="rId13">
        <w:r>
          <w:rPr>
            <w:color w:val="2E74B5"/>
            <w:u w:val="single"/>
          </w:rPr>
          <w:t>Microsoft Learn — Conectar-se a um banco Oracle com o Power BI Desktop</w:t>
        </w:r>
      </w:hyperlink>
    </w:p>
    <w:p>
      <w:pPr>
        <w:widowControl/>
      </w:pPr>
      <w:hyperlink r:id="rId12">
        <w:r>
          <w:rPr>
            <w:color w:val="2E74B5"/>
            <w:u w:val="single"/>
          </w:rPr>
          <w:t>Oracle — Conectar Power BI e ferramentas Microsoft ao Autonomous AI Database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7"/>
      </w:rPr>
      <w:t xml:space="preserve">Guia da equipe  • 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573"/>
        <w:sz w:val="17"/>
      </w:rPr>
      <w:t>ENTERPRISE CHALLENGE  |  POWER BI + ORACLE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6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63A5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/>
      <w:b w:val="0"/>
      <w:i/>
      <w:iCs/>
      <w:color w:val="5B65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microsoft.com/power-platform/products/power-bi/desktop" TargetMode="External"/><Relationship Id="rId12" Type="http://schemas.openxmlformats.org/officeDocument/2006/relationships/hyperlink" Target="https://docs.oracle.com/en-us/iaas/autonomous-database-serverless/doc/connecting-ocmt.html" TargetMode="External"/><Relationship Id="rId13" Type="http://schemas.openxmlformats.org/officeDocument/2006/relationships/hyperlink" Target="https://learn.microsoft.com/en-us/power-bi/connect-data/desktop-connect-oracle-databa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conexão do Power BI ao Oracle Autonomous Database</dc:title>
  <dc:subject>Enterprise Challenge — Dashboard de internações hospitalares</dc:subject>
  <dc:creator>Equipe Enterprise Challenge</dc:creator>
  <cp:keywords>Power BI, Oracle Autonomous Database, FIAP, Enterprise Challenge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