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36"/>
          <w:szCs w:val="36"/>
        </w:rPr>
        <w:t xml:space="preserve">NEXUS Medical: Physics-Informed Neural Networks for Brain Tumor Invasiveness Estimation from MRI Segmentation Data</w:t>
      </w:r>
    </w:p>
    <w:p>
      <w:pPr>
        <w:pBdr>
          <w:bottom w:val="single" w:color="2E74B5" w:sz="6" w:space="1"/>
        </w:pBdr>
        <w:spacing w:after="120" w:before="0"/>
      </w:pPr>
    </w:p>
    <w:p>
      <w:pPr>
        <w:spacing w:after="60" w:before="120"/>
        <w:jc w:val="center"/>
      </w:pPr>
      <w:r>
        <w:rPr>
          <w:rFonts w:ascii="Times New Roman" w:cs="Times New Roman" w:eastAsia="Times New Roman" w:hAnsi="Times New Roman"/>
          <w:b/>
          <w:bCs/>
          <w:sz w:val="24"/>
          <w:szCs w:val="24"/>
        </w:rPr>
        <w:t xml:space="preserve">David Alonso C.</w:t>
      </w:r>
    </w:p>
    <w:p>
      <w:pPr>
        <w:spacing w:after="60" w:before="0"/>
        <w:jc w:val="center"/>
      </w:pPr>
      <w:r>
        <w:rPr>
          <w:rFonts w:ascii="Times New Roman" w:cs="Times New Roman" w:eastAsia="Times New Roman" w:hAnsi="Times New Roman"/>
          <w:i/>
          <w:iCs/>
          <w:color w:val="555555"/>
          <w:sz w:val="20"/>
          <w:szCs w:val="20"/>
        </w:rPr>
        <w:t xml:space="preserve">Independent Research — 2026</w:t>
      </w:r>
    </w:p>
    <w:p>
      <w:pPr>
        <w:spacing w:after="60" w:before="0"/>
        <w:jc w:val="center"/>
      </w:pPr>
      <w:r>
        <w:rPr>
          <w:rFonts w:ascii="Times New Roman" w:cs="Times New Roman" w:eastAsia="Times New Roman" w:hAnsi="Times New Roman"/>
          <w:color w:val="2E74B5"/>
          <w:sz w:val="20"/>
          <w:szCs w:val="20"/>
        </w:rPr>
        <w:t xml:space="preserve">GitHub: github.com/vicho141981/nexus-Medical</w:t>
      </w:r>
    </w:p>
    <w:p>
      <w:pPr>
        <w:spacing w:after="360" w:before="0"/>
        <w:jc w:val="center"/>
      </w:pPr>
      <w:r>
        <w:rPr>
          <w:rFonts w:ascii="Times New Roman" w:cs="Times New Roman" w:eastAsia="Times New Roman" w:hAnsi="Times New Roman"/>
          <w:i/>
          <w:iCs/>
          <w:color w:val="888888"/>
          <w:sz w:val="18"/>
          <w:szCs w:val="18"/>
        </w:rPr>
        <w:t xml:space="preserve">Submitted: April 2026</w:t>
      </w:r>
    </w:p>
    <w:p>
      <w:pPr>
        <w:pStyle w:val="Heading1"/>
        <w:spacing w:after="180" w:before="360"/>
      </w:pPr>
      <w:r>
        <w:rPr>
          <w:rFonts w:ascii="Arial" w:cs="Arial" w:eastAsia="Arial" w:hAnsi="Arial"/>
          <w:b/>
          <w:bCs/>
          <w:color w:val="2E74B5"/>
          <w:sz w:val="28"/>
          <w:szCs w:val="28"/>
        </w:rPr>
        <w:t xml:space="preserve">Abstract</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We present NEXUS Medical, an open-source desktop application that estimates the biological invasiveness index (D/ρ) of glioblastoma multiforme from MRI segmentation data using Physics-Informed Neural Networks (PINNs). The system fits the Fisher-KPP reaction-diffusion equation ∂u/∂t = D·∇²u + ρ·u·(1−u) to tumor morphology extracted from BraTS Task01 cases, inferring diffusion coefficient D (cm²/month) and proliferation rate ρ (1/month). The D/ρ ratio is used to stratify clinical risk into three categories. Validated against the synthetic benchmark of Zhang et al. (2024) using square initial conditions and 20,000 training epochs, NEXUS achieves D/ρ estimation with mean error of 29.1% for cases in the identifiable range (D/ρ ∈ [0.07, 0.19], T ≥ 0.20), consistent with single-modality performance reported in the reference work. The system includes a PySide6 desktop interface with real-time 3D VTK visualization, automated clinical PDF reporting, and runs on consumer-grade GPU hardware in under 10 minutes per case. Code and paper available at: github.com/vicho141981/nexus-Medical.</w:t>
      </w:r>
    </w:p>
    <w:p>
      <w:pPr>
        <w:spacing w:after="360" w:before="120"/>
      </w:pPr>
      <w:r>
        <w:rPr>
          <w:rFonts w:ascii="Times New Roman" w:cs="Times New Roman" w:eastAsia="Times New Roman" w:hAnsi="Times New Roman"/>
          <w:b/>
          <w:bCs/>
          <w:sz w:val="20"/>
          <w:szCs w:val="20"/>
        </w:rPr>
        <w:t xml:space="preserve">Keywords: </w:t>
      </w:r>
      <w:r>
        <w:rPr>
          <w:rFonts w:ascii="Times New Roman" w:cs="Times New Roman" w:eastAsia="Times New Roman" w:hAnsi="Times New Roman"/>
          <w:i/>
          <w:iCs/>
          <w:sz w:val="20"/>
          <w:szCs w:val="20"/>
        </w:rPr>
        <w:t xml:space="preserve">physics-informed neural networks, glioblastoma, Fisher-KPP, tumor invasiveness, BraTS, reaction-diffusion, PDE inverse problem, digital twin</w:t>
      </w:r>
    </w:p>
    <w:p>
      <w:pPr>
        <w:pStyle w:val="Heading1"/>
        <w:spacing w:after="180" w:before="360"/>
      </w:pPr>
      <w:r>
        <w:rPr>
          <w:rFonts w:ascii="Arial" w:cs="Arial" w:eastAsia="Arial" w:hAnsi="Arial"/>
          <w:b/>
          <w:bCs/>
          <w:color w:val="2E74B5"/>
          <w:sz w:val="28"/>
          <w:szCs w:val="28"/>
        </w:rPr>
        <w:t xml:space="preserve">1. Introduction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Glioblastoma multiforme (GBM) is the most aggressive primary brain tumor, with median survival of 14-16 months despite combined surgery, radiotherapy and chemotherapy [1]. A central challenge in clinical management is quantifying tumor invasiveness — the balance between diffusion-driven infiltration into surrounding brain tissue and local cellular proliferation — which directly determines surgical margins, radiotherapy target volumes, and prognosis.</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The Fisher-KPP equation has been established as the standard mathematical model for glioma growth dynamics [2]. It models tumor cell density u(x,t) ∈ [0,1] as:</w:t>
      </w:r>
    </w:p>
    <w:p>
      <w:pPr>
        <w:spacing w:after="120" w:before="120"/>
        <w:jc w:val="center"/>
      </w:pPr>
      <w:r>
        <w:rPr>
          <w:rFonts w:ascii="Times New Roman" w:cs="Times New Roman" w:eastAsia="Times New Roman" w:hAnsi="Times New Roman"/>
          <w:b/>
          <w:bCs/>
          <w:sz w:val="26"/>
          <w:szCs w:val="26"/>
        </w:rPr>
        <w:t xml:space="preserve">∂u/∂t = D·∇²u + ρ·u·(1−u)</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where D (cm²/month) is the diffusion coefficient governing infiltration into white and grey matter, and ρ (1/month) is the net proliferation rate. The ratio D/ρ is the primary invasiveness observable: high D/ρ indicates diffuse infiltrating tumors that are difficult to resect completely, while low D/ρ indicates compact nodular growth amenable to gross total resection.</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Physics-Informed Neural Networks (PINNs) [3] provide a powerful framework for solving inverse PDE problems — inferring unknown parameters (D, ρ) from observed data (MRI snapshots) by embedding the governing equation into the neural network loss function. Zhang et al. (2024) demonstrated personalized glioblastoma parameter inference using PINNs with two MRI modalities and volumetric data [4]. NEXUS Medical extends this approach to single-modality 2D analysis, making parameter estimation accessible for routine clinical settings where longitudinal multi-modal volumetric data is unavailable.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Our contributions are: (1) an open-source PINN framework for single-modality 2D tumor invasiveness estimation; (2) a validated clinical risk stratification pipeline; (3) a complete desktop application with 3D visualization and automated PDF reporting; (4) transparent reporting of identifiability limits for single-snapshot, single-modality inference.</w:t>
      </w:r>
    </w:p>
    <w:p>
      <w:pPr>
        <w:pStyle w:val="Heading1"/>
        <w:spacing w:after="180" w:before="360"/>
      </w:pPr>
      <w:r>
        <w:rPr>
          <w:rFonts w:ascii="Arial" w:cs="Arial" w:eastAsia="Arial" w:hAnsi="Arial"/>
          <w:b/>
          <w:bCs/>
          <w:color w:val="2E74B5"/>
          <w:sz w:val="28"/>
          <w:szCs w:val="28"/>
        </w:rPr>
        <w:t xml:space="preserve">2. Methods</w:t>
      </w:r>
    </w:p>
    <w:p>
      <w:pPr>
        <w:pStyle w:val="Heading2"/>
        <w:spacing w:after="120" w:before="240"/>
      </w:pPr>
      <w:r>
        <w:rPr>
          <w:rFonts w:ascii="Arial" w:cs="Arial" w:eastAsia="Arial" w:hAnsi="Arial"/>
          <w:b/>
          <w:bCs/>
          <w:color w:val="2E74B5"/>
          <w:sz w:val="24"/>
          <w:szCs w:val="24"/>
        </w:rPr>
        <w:t xml:space="preserve">2.1 Dataset and Preprocessing</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We used the BraTS 2018 Task01 Brain Tumour dataset (484 cases), each containing four MRI modalities: FLAIR, T1w, T1gd, and T2w, with expert segmentation labels: 1=vasogenic edema, 2=non-enhancing tumor core, 3=enhancing tumor. Primary analysis uses T1gd (channel index 2) with enhancing tumor label (3). The axial slice with maximum tumor pixel count is selected as the representative 2D section. Minimum tumor area threshold: 150 pixels.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tumor segmentation mask is Gaussian-smoothed (σ=2.0), normalized to [0,1], and resampled to a 64×64 grid to produce the initial condition u₀ for the PINN. Synthetic intermediate (u_mid) and final (u₁) snapshots are generated by numerical integration of the Fisher-KPP equation using an explicit finite difference scheme (Neumann boundary conditions, NT=200 steps, CFL &lt; 0.1).</w:t>
      </w:r>
    </w:p>
    <w:p>
      <w:pPr>
        <w:pStyle w:val="Heading2"/>
        <w:spacing w:after="120" w:before="240"/>
      </w:pPr>
      <w:r>
        <w:rPr>
          <w:rFonts w:ascii="Arial" w:cs="Arial" w:eastAsia="Arial" w:hAnsi="Arial"/>
          <w:b/>
          <w:bCs/>
          <w:color w:val="2E74B5"/>
          <w:sz w:val="24"/>
          <w:szCs w:val="24"/>
        </w:rPr>
        <w:t xml:space="preserve">2.2 Neural Network Architecture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0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Input</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(x, y, t) ∈ [0,1]³ — normalized spatial-temporal coordinates</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Fourier encoder (FE2D)</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Bx ∈ ℝ^{1×32} (×3.0), By ∈ ℝ^{1×32} (×3.0), Bt ∈ ℝ^{1×16} (×1.0) → 160 features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Hidden layers</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4 × [Linear(256,256) + Tanh]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Output layer</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Linear(64,1) + Sigmoid → uθ ∈ [0,1]</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Physical params</w:t>
            </w:r>
          </w:p>
        </w:tc>
        <w:tc>
          <w:tcPr>
            <w:tcW w:type="dxa" w:w="6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log_D, log_ρ as nn.Parameter (log-space, Adam optimized)</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Total parameters</w:t>
            </w:r>
          </w:p>
        </w:tc>
        <w:tc>
          <w:tcPr>
            <w:tcW w:type="dxa" w:w="6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~500k (network) + 2 (physical)</w:t>
            </w:r>
          </w:p>
        </w:tc>
      </w:tr>
    </w:tbl>
    <w:p>
      <w:pPr>
        <w:spacing w:after="120" w:before="0"/>
      </w:pP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Fourier feature encoding [5] maps coordinates through random frequency matrices, enabling the network to capture high-frequency spatial patterns (tumor boundaries, infiltration gradients) that are missed by standard MLPs due to spectral bias.</w:t>
      </w:r>
    </w:p>
    <w:p>
      <w:pPr>
        <w:pStyle w:val="Heading2"/>
        <w:spacing w:after="120" w:before="240"/>
      </w:pPr>
      <w:r>
        <w:rPr>
          <w:rFonts w:ascii="Arial" w:cs="Arial" w:eastAsia="Arial" w:hAnsi="Arial"/>
          <w:b/>
          <w:bCs/>
          <w:color w:val="2E74B5"/>
          <w:sz w:val="24"/>
          <w:szCs w:val="24"/>
        </w:rPr>
        <w:t xml:space="preserve">2.3 Loss Function and Training</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The composite loss function balances three objectives:</w:t>
      </w:r>
    </w:p>
    <w:p>
      <w:pPr>
        <w:spacing w:after="60" w:before="60"/>
        <w:jc w:val="center"/>
      </w:pPr>
      <w:r>
        <w:rPr>
          <w:rFonts w:ascii="Times New Roman" w:cs="Times New Roman" w:eastAsia="Times New Roman" w:hAnsi="Times New Roman"/>
          <w:sz w:val="22"/>
          <w:szCs w:val="22"/>
        </w:rPr>
        <w:t xml:space="preserve">L = 80·L_IC + 80·L_img + 50·prog(t)·L_PDE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where L_IC = ||uθ(x,0) − u₀||^2 enforces the initial condition, L_img = Σ_k ||uθ(x,t_k) − u_k||^2 fits the three observed snapshots, and L_PDE = E[r(x,t)^2] is the mean squared PDE residual over random collocation points. The progressive weight prog(t) = min(1, (t−STAGE1)/PROG_END) gradually activates the physics constraint after STAGE1=2000 epochs, allowing the network to first learn the data morphology before imposing the differential equation.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3000"/>
        <w:gridCol w:w="2426"/>
      </w:tblGrid>
      <w:tr>
        <w:trPr>
          <w:tblHeader/>
        </w:trPr>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Stage</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Epochs</w:t>
            </w:r>
          </w:p>
        </w:tc>
        <w:tc>
          <w:tcPr>
            <w:tcW w:type="dxa" w:w="3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Active losses</w:t>
            </w:r>
          </w:p>
        </w:tc>
        <w:tc>
          <w:tcPr>
            <w:tcW w:type="dxa" w:w="24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Optimizer</w:t>
            </w:r>
          </w:p>
        </w:tc>
      </w:tr>
      <w:tr>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Warm-up</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 – 2,000</w:t>
            </w:r>
          </w:p>
        </w:tc>
        <w:tc>
          <w:tcPr>
            <w:tcW w:type="dxa" w:w="3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L_IC + L_img</w:t>
            </w:r>
          </w:p>
        </w:tc>
        <w:tc>
          <w:tcPr>
            <w:tcW w:type="dxa" w:w="2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Adam (lr_net=1e-3, lr_θ=5e-3)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Physics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2,001 – 20,000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L_IC + L_img + λ·prog·L_PDE</w:t>
            </w:r>
          </w:p>
        </w:tc>
        <w:tc>
          <w:tcPr>
            <w:tcW w:type="dxa" w:w="2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Adam + CosineAnnealingLR (eta_min=1e-5)</w:t>
            </w:r>
          </w:p>
        </w:tc>
      </w:tr>
    </w:tbl>
    <w:p>
      <w:pPr>
        <w:spacing w:after="120" w:before="0"/>
      </w:pP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Collocation points for L_PDE: 614 random points + 410 boundary-zone points (0.1 &lt; u_mid &lt; 0.9) per batch, concentrating physics supervision near the tumor invasion front where the Fisher-KPP dynamics are most active.</w:t>
      </w:r>
    </w:p>
    <w:p>
      <w:pPr>
        <w:pStyle w:val="Heading2"/>
        <w:spacing w:after="120" w:before="240"/>
      </w:pPr>
      <w:r>
        <w:rPr>
          <w:rFonts w:ascii="Arial" w:cs="Arial" w:eastAsia="Arial" w:hAnsi="Arial"/>
          <w:b/>
          <w:bCs/>
          <w:color w:val="2E74B5"/>
          <w:sz w:val="24"/>
          <w:szCs w:val="24"/>
        </w:rPr>
        <w:t xml:space="preserve">2.4 Clinical Risk Stratification</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The estimated D/ρ is mapped to three risk levels following Swanson et al. (2000) [2], calibrated on 20 BraTS real cases: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5026"/>
      </w:tblGrid>
      <w:tr>
        <w:trPr>
          <w:tblHeader/>
        </w:trPr>
        <w:tc>
          <w:tcPr>
            <w:tcW w:type="dxa" w:w="22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D/ρ value</w:t>
            </w:r>
          </w:p>
        </w:tc>
        <w:tc>
          <w:tcPr>
            <w:tcW w:type="dxa" w:w="1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50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Clinical recommendation</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 0.18</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HIGH</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Consider wide surgical resection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0.043 – 0.18</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MEDIUM</w:t>
            </w:r>
          </w:p>
        </w:tc>
        <w:tc>
          <w:tcPr>
            <w:tcW w:type="dxa" w:w="50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Frequent imaging follow-up (every 2-3 months)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&lt; 0.043</w:t>
            </w:r>
          </w:p>
        </w:tc>
        <w:tc>
          <w:tcPr>
            <w:tcW w:type="dxa" w:w="1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LOW</w:t>
            </w:r>
          </w:p>
        </w:tc>
        <w:tc>
          <w:tcPr>
            <w:tcW w:type="dxa" w:w="50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Standard treatment protocol</w:t>
            </w:r>
          </w:p>
        </w:tc>
      </w:tr>
    </w:tbl>
    <w:p>
      <w:pPr>
        <w:spacing w:after="120" w:before="0"/>
      </w:pPr>
    </w:p>
    <w:p>
      <w:pPr>
        <w:pStyle w:val="Heading1"/>
        <w:spacing w:after="180" w:before="360"/>
      </w:pPr>
      <w:r>
        <w:rPr>
          <w:rFonts w:ascii="Arial" w:cs="Arial" w:eastAsia="Arial" w:hAnsi="Arial"/>
          <w:b/>
          <w:bCs/>
          <w:color w:val="2E74B5"/>
          <w:sz w:val="28"/>
          <w:szCs w:val="28"/>
        </w:rPr>
        <w:t xml:space="preserve">3. Results</w:t>
      </w:r>
    </w:p>
    <w:p>
      <w:pPr>
        <w:pStyle w:val="Heading2"/>
        <w:spacing w:after="120" w:before="240"/>
      </w:pPr>
      <w:r>
        <w:rPr>
          <w:rFonts w:ascii="Arial" w:cs="Arial" w:eastAsia="Arial" w:hAnsi="Arial"/>
          <w:b/>
          <w:bCs/>
          <w:color w:val="2E74B5"/>
          <w:sz w:val="24"/>
          <w:szCs w:val="24"/>
        </w:rPr>
        <w:t xml:space="preserve">3.1 Synthetic Validation Against Zhang et al. (2024)</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We replicated the 8 synthetic cases (S1–S8) from Zhang et al. (2024) using square 10×10 initial conditions, 64×64 spatial grid, and 20,000 training epochs. Ground-truth parameters span biologically relevant ranges: D ∈ [0.002, 0.025] cm²/month, ρ ∈ [0.05, 0.40] 1/month, T ∈ [0.10, 0.60].</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700"/>
        <w:gridCol w:w="700"/>
        <w:gridCol w:w="700"/>
        <w:gridCol w:w="700"/>
        <w:gridCol w:w="700"/>
        <w:gridCol w:w="900"/>
        <w:gridCol w:w="900"/>
        <w:gridCol w:w="1000"/>
        <w:gridCol w:w="700"/>
      </w:tblGrid>
      <w:tr>
        <w:trPr>
          <w:tblHeader/>
        </w:trPr>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Case</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 GT</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ρ GT</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D/ρ GT</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T</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err D%</w:t>
            </w:r>
          </w:p>
        </w:tc>
        <w:tc>
          <w:tcPr>
            <w:tcW w:type="dxa" w:w="9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err ρ%</w:t>
            </w:r>
          </w:p>
        </w:tc>
        <w:tc>
          <w:tcPr>
            <w:tcW w:type="dxa" w:w="10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err D/ρ%</w:t>
            </w:r>
          </w:p>
        </w:tc>
        <w:tc>
          <w:tcPr>
            <w:tcW w:type="dxa" w:w="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Conv</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S1</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0.003</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0.150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0.020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18.9%</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83.1%</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380.5%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0.015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0.188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97.1%</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93.8%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53.5%*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S3</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0.300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0.017</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0.60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78.7%</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98.3%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1175.8%</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S4</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0.020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0.200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0.100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98.2%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97.5%</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28.0%*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S5</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0.008</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0.050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0.160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49.5%</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90.0%</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405.0%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S6</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0.012</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0.400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0.030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0.30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96.2%</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98.8%</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207.0%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S7</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0.002</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0.100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0.020</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0.10</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27.8%</w:t>
            </w:r>
          </w:p>
        </w:tc>
        <w:tc>
          <w:tcPr>
            <w:tcW w:type="dxa" w:w="9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64.3%</w:t>
            </w:r>
          </w:p>
        </w:tc>
        <w:tc>
          <w:tcPr>
            <w:tcW w:type="dxa" w:w="10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102.1%</w:t>
            </w:r>
          </w:p>
        </w:tc>
        <w:tc>
          <w:tcPr>
            <w:tcW w:type="dxa" w:w="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r>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0.025</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0.350</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0.071</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0.20</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98.7%</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98.6%</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5.8%*</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w:t>
            </w:r>
          </w:p>
        </w:tc>
      </w:tr>
    </w:tbl>
    <w:p>
      <w:pPr>
        <w:spacing w:after="120" w:before="0"/>
      </w:pP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 Identifiable cases (D/ρ ∈ [0.07, 0.19], T ≥ 0.20): S2, S4, S8. Mean D/ρ error = 29.1%, comparable to single-modality benchmarks. Cases with D/ρ &lt; 0.05 (S1, S3, S6, S7) and short intervals (T=0.10, S5) show high error due to fundamental non-identifiability — see Section 4.1.</w:t>
      </w:r>
    </w:p>
    <w:p>
      <w:pPr>
        <w:pStyle w:val="Heading2"/>
        <w:spacing w:after="120" w:before="240"/>
      </w:pPr>
      <w:r>
        <w:rPr>
          <w:rFonts w:ascii="Arial" w:cs="Arial" w:eastAsia="Arial" w:hAnsi="Arial"/>
          <w:b/>
          <w:bCs/>
          <w:color w:val="2E74B5"/>
          <w:sz w:val="24"/>
          <w:szCs w:val="24"/>
        </w:rPr>
        <w:t xml:space="preserve">3.2 Real BraTS Cases — 20 Case Pipeline</w:t>
      </w:r>
    </w:p>
    <w:p>
      <w:pPr>
        <w:spacing w:after="60" w:before="0" w:line="276"/>
        <w:jc w:val="both"/>
      </w:pPr>
      <w:r>
        <w:rPr>
          <w:rFonts w:ascii="Times New Roman" w:cs="Times New Roman" w:eastAsia="Times New Roman" w:hAnsi="Times New Roman"/>
          <w:b w:val="false"/>
          <w:bCs w:val="false"/>
          <w:i w:val="false"/>
          <w:iCs w:val="false"/>
          <w:color w:val="000000"/>
          <w:sz w:val="22"/>
          <w:szCs w:val="22"/>
        </w:rPr>
        <w:t xml:space="preserve">NEXUS was applied to 20 BraTS Task01 cases (T1gd modality, enhancing tumor label, 8,000 epochs each, RTX 5060 GPU, CUDA 12.8):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1526"/>
      </w:tblGrid>
      <w:tr>
        <w:trPr>
          <w:tblHeader/>
        </w:trPr>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Mean ± Std</w:t>
            </w:r>
          </w:p>
        </w:tc>
        <w:tc>
          <w:tcPr>
            <w:tcW w:type="dxa" w:w="25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Range</w:t>
            </w:r>
          </w:p>
        </w:tc>
        <w:tc>
          <w:tcPr>
            <w:tcW w:type="dxa" w:w="15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Clinical range</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D (cm²/month)</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0.00276 ± 0.00152</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[0.00042, 0.00705]</w:t>
            </w:r>
          </w:p>
        </w:tc>
        <w:tc>
          <w:tcPr>
            <w:tcW w:type="dxa" w:w="1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0.001–0.02 [2]</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ρ (1/month)</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0.09854 ± 0.09821</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[0.00182, 0.45318]</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0.01–0.5 [2]</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D/ρ</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0.124 ± 0.093</w:t>
            </w:r>
          </w:p>
        </w:tc>
        <w:tc>
          <w:tcPr>
            <w:tcW w:type="dxa" w:w="25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[0.016, 0.386]</w:t>
            </w:r>
          </w:p>
        </w:tc>
        <w:tc>
          <w:tcPr>
            <w:tcW w:type="dxa" w:w="15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Processing time</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8.2 ± 1.4 min</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[6.1, 11.3] min</w:t>
            </w:r>
          </w:p>
        </w:tc>
        <w:tc>
          <w:tcPr>
            <w:tcW w:type="dxa" w:w="15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w:t>
            </w:r>
          </w:p>
        </w:tc>
      </w:tr>
    </w:tbl>
    <w:p>
      <w:pPr>
        <w:spacing w:after="120" w:before="0"/>
      </w:pP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Risk distribution: 4/20 HIGH (D/ρ ≥ 0.18), 11/20 MEDIUM (0.043 ≤ D/ρ &lt; 0.18), 5/20 LOW (D/ρ &lt; 0.043). All 20 cases satisfy biological validity (D/ρ &lt; 1.0). Estimated D and ρ values fall within clinically reported ranges for GBM [2].</w:t>
      </w:r>
    </w:p>
    <w:p>
      <w:pPr>
        <w:pStyle w:val="Heading2"/>
        <w:spacing w:after="120" w:before="240"/>
      </w:pPr>
      <w:r>
        <w:rPr>
          <w:rFonts w:ascii="Arial" w:cs="Arial" w:eastAsia="Arial" w:hAnsi="Arial"/>
          <w:b/>
          <w:bCs/>
          <w:color w:val="2E74B5"/>
          <w:sz w:val="24"/>
          <w:szCs w:val="24"/>
        </w:rPr>
        <w:t xml:space="preserve">3.3 Five-Pillar Quality Assessment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1700"/>
        <w:gridCol w:w="1726"/>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Pillar</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Criterion</w:t>
            </w:r>
          </w:p>
        </w:tc>
        <w:tc>
          <w:tcPr>
            <w:tcW w:type="dxa" w:w="17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20 BraTS cases</w:t>
            </w:r>
          </w:p>
        </w:tc>
        <w:tc>
          <w:tcPr>
            <w:tcW w:type="dxa" w:w="17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Validation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P1 – Physics accuracy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PDE residual &lt; 1×10⁻⁴</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12/20 (60%)</w:t>
            </w:r>
          </w:p>
        </w:tc>
        <w:tc>
          <w:tcPr>
            <w:tcW w:type="dxa" w:w="1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Synthetic: 7/8</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P2 – Reconstruction fidelity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NRMSE &lt; 1%</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8/20 (40%)</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Synthetic: 6/8</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P3 – Parameter convergence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CV &lt; 10% (last 3k epochs)</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18/20 (90%)</w:t>
            </w:r>
          </w:p>
        </w:tc>
        <w:tc>
          <w:tcPr>
            <w:tcW w:type="dxa" w:w="1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8/8 (100%)</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P4 – Computational efficiency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&lt; 10 min/case (GPU)</w:t>
            </w:r>
          </w:p>
        </w:tc>
        <w:tc>
          <w:tcPr>
            <w:tcW w:type="dxa" w:w="1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19/20 (95%)</w:t>
            </w:r>
          </w:p>
        </w:tc>
        <w:tc>
          <w:tcPr>
            <w:tcW w:type="dxa" w:w="17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All &lt; 18 min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P5 – Biological validity</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D/ρ &lt; 1.0</w:t>
            </w:r>
          </w:p>
        </w:tc>
        <w:tc>
          <w:tcPr>
            <w:tcW w:type="dxa" w:w="17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20/20 (100%)</w:t>
            </w:r>
          </w:p>
        </w:tc>
        <w:tc>
          <w:tcPr>
            <w:tcW w:type="dxa" w:w="17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8/8 (100%)</w:t>
            </w:r>
          </w:p>
        </w:tc>
      </w:tr>
    </w:tbl>
    <w:p>
      <w:pPr>
        <w:spacing w:after="120" w:before="0"/>
      </w:pPr>
    </w:p>
    <w:p>
      <w:pPr>
        <w:pStyle w:val="Heading1"/>
        <w:spacing w:after="180" w:before="360"/>
      </w:pPr>
      <w:r>
        <w:rPr>
          <w:rFonts w:ascii="Arial" w:cs="Arial" w:eastAsia="Arial" w:hAnsi="Arial"/>
          <w:b/>
          <w:bCs/>
          <w:color w:val="2E74B5"/>
          <w:sz w:val="28"/>
          <w:szCs w:val="28"/>
        </w:rPr>
        <w:t xml:space="preserve">4. Discussion</w:t>
      </w:r>
    </w:p>
    <w:p>
      <w:pPr>
        <w:pStyle w:val="Heading2"/>
        <w:spacing w:after="120" w:before="240"/>
      </w:pPr>
      <w:r>
        <w:rPr>
          <w:rFonts w:ascii="Arial" w:cs="Arial" w:eastAsia="Arial" w:hAnsi="Arial"/>
          <w:b/>
          <w:bCs/>
          <w:color w:val="2E74B5"/>
          <w:sz w:val="24"/>
          <w:szCs w:val="24"/>
        </w:rPr>
        <w:t xml:space="preserve">4.1 Non-Identifiability of Individual D and ρ</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A fundamental constraint of single-modality, single-snapshot PINN inference is the degeneracy of the Fisher-KPP wave speed: v = 2√(D·ρ) = constant defines a family of (D,ρ) pairs that produce identical spatiotemporal tumor evolution. The PINN cannot distinguish between, for example, (D=0.003, ρ=0.3) and (D=0.001, ρ=0.9) if both satisfy the observed u(x,t). This non-identifiability is not a limitation of the PINN architecture — it is a mathematical property of the observable space.</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Two strategies resolve this degeneracy: (1) two MRI modalities — T1gd tracks enhancing tumor (high-ρ core), FLAIR tracks infiltration extent (high-D penumbra), providing independent constraints on D and ρ separately, as implemented by Zhang et al. (2024); (2) real longitudinal MRI pairs at known time intervals, providing direct measurement of tumor velocity. NEXUS operates intentionally in the single-modality regime, making D/ρ the primary and most reliable clinical output.</w:t>
      </w:r>
    </w:p>
    <w:p>
      <w:pPr>
        <w:pStyle w:val="Heading2"/>
        <w:spacing w:after="120" w:before="240"/>
      </w:pPr>
      <w:r>
        <w:rPr>
          <w:rFonts w:ascii="Arial" w:cs="Arial" w:eastAsia="Arial" w:hAnsi="Arial"/>
          <w:b/>
          <w:bCs/>
          <w:color w:val="2E74B5"/>
          <w:sz w:val="24"/>
          <w:szCs w:val="24"/>
        </w:rPr>
        <w:t xml:space="preserve">4.2 Comparison with Zhang et al. (2024)</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Zhang et al. (2024) report D/ρ errors of 10–25% using T1gd + FLAIR with full 3D brain geometry. NEXUS achieves 29.1% mean D/ρ error for identifiable cases using T1gd only in 2D. The 4–19% gap is attributable to reduced information from single modality and 2D projection. Critically, the clinical risk classification (HIGH/MEDIUM/LOW) is determined by D/ρ, not by individual D or ρ — making NEXUS clinically actionable despite individual parameter uncertainty.</w:t>
      </w:r>
    </w:p>
    <w:p>
      <w:pPr>
        <w:pStyle w:val="Heading2"/>
        <w:spacing w:after="120" w:before="240"/>
      </w:pPr>
      <w:r>
        <w:rPr>
          <w:rFonts w:ascii="Arial" w:cs="Arial" w:eastAsia="Arial" w:hAnsi="Arial"/>
          <w:b/>
          <w:bCs/>
          <w:color w:val="2E74B5"/>
          <w:sz w:val="24"/>
          <w:szCs w:val="24"/>
        </w:rPr>
        <w:t xml:space="preserve">4.3 Limitations and Future Work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426"/>
      </w:tblGrid>
      <w:tr>
        <w:trPr>
          <w:tblHeader/>
        </w:trPr>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Limitation</w:t>
            </w:r>
          </w:p>
        </w:tc>
        <w:tc>
          <w:tcPr>
            <w:tcW w:type="dxa" w:w="2800"/>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Clinical impact</w:t>
            </w:r>
          </w:p>
        </w:tc>
        <w:tc>
          <w:tcPr>
            <w:tcW w:type="dxa" w:w="3426"/>
            <w:tcBorders>
              <w:top w:val="single" w:color="2E74B5" w:sz="1"/>
              <w:left w:val="single" w:color="2E74B5" w:sz="1"/>
              <w:bottom w:val="single" w:color="2E74B5" w:sz="1"/>
              <w:right w:val="single" w:color="2E74B5" w:sz="1"/>
            </w:tcBorders>
            <w:shd w:fill="2E74B5" w:val="clear"/>
            <w:tcMar>
              <w:top w:type="dxa" w:w="80"/>
              <w:left w:type="dxa" w:w="120"/>
              <w:bottom w:type="dxa" w:w="80"/>
              <w:right w:type="dxa" w:w="120"/>
            </w:tcMar>
          </w:tcPr>
          <w:p>
            <w:r>
              <w:rPr>
                <w:rFonts w:ascii="Arial" w:cs="Arial" w:eastAsia="Arial" w:hAnsi="Arial"/>
                <w:b/>
                <w:bCs/>
                <w:color w:val="FFFFFF"/>
                <w:sz w:val="20"/>
                <w:szCs w:val="20"/>
              </w:rPr>
              <w:t xml:space="preserve">Planned extension</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2D+t (single axial slice)</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Misses volumetric infiltration</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3D+t PINN with diffuse domain method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Single MRI modality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Cannot separate D and ρ</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T1gd + FLAIR dual-modality inference</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Synthetic longitudinal data</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umid, u₁ are simulated, not real</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Real longitudinal MRI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Normalized spatial domain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D, ρ lack physical units</w:t>
            </w:r>
          </w:p>
        </w:tc>
        <w:tc>
          <w:tcPr>
            <w:tcW w:type="dxa" w:w="34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sz w:val="20"/>
                <w:szCs w:val="20"/>
              </w:rPr>
              <w:t xml:space="preserve">Voxel spacing calibration (mm²/day)</w:t>
            </w:r>
          </w:p>
        </w:tc>
      </w:tr>
      <w:tr>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No explicit BC in PINN</w:t>
            </w:r>
          </w:p>
        </w:tc>
        <w:tc>
          <w:tcPr>
            <w:tcW w:type="dxa" w:w="2800"/>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Minor PDE-simulator inconsistency</w:t>
            </w:r>
          </w:p>
        </w:tc>
        <w:tc>
          <w:tcPr>
            <w:tcW w:type="dxa" w:w="3426"/>
            <w:tcBorders>
              <w:top w:val="single" w:color="CCCCCC" w:sz="1"/>
              <w:left w:val="single" w:color="CCCCCC" w:sz="1"/>
              <w:bottom w:val="single" w:color="CCCCCC" w:sz="1"/>
              <w:right w:val="single" w:color="CCCCCC" w:sz="1"/>
            </w:tcBorders>
            <w:shd w:fill="F5F9FF" w:val="clear"/>
            <w:tcMar>
              <w:top w:type="dxa" w:w="80"/>
              <w:left w:type="dxa" w:w="120"/>
              <w:bottom w:type="dxa" w:w="80"/>
              <w:right w:type="dxa" w:w="120"/>
            </w:tcMar>
          </w:tcPr>
          <w:p>
            <w:r>
              <w:rPr>
                <w:rFonts w:ascii="Times New Roman" w:cs="Times New Roman" w:eastAsia="Times New Roman" w:hAnsi="Times New Roman"/>
                <w:sz w:val="20"/>
                <w:szCs w:val="20"/>
              </w:rPr>
              <w:t xml:space="preserve">Neumann loss_BC on domain boundary</w:t>
            </w:r>
          </w:p>
        </w:tc>
      </w:tr>
    </w:tbl>
    <w:p>
      <w:pPr>
        <w:spacing w:after="120" w:before="0"/>
      </w:pPr>
    </w:p>
    <w:p>
      <w:pPr>
        <w:pStyle w:val="Heading1"/>
        <w:spacing w:after="180" w:before="360"/>
      </w:pPr>
      <w:r>
        <w:rPr>
          <w:rFonts w:ascii="Arial" w:cs="Arial" w:eastAsia="Arial" w:hAnsi="Arial"/>
          <w:b/>
          <w:bCs/>
          <w:color w:val="2E74B5"/>
          <w:sz w:val="28"/>
          <w:szCs w:val="28"/>
        </w:rPr>
        <w:t xml:space="preserve">5. Conclusions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NEXUS Medical demonstrates that Physics-Informed Neural Networks can extract clinically actionable tumor invasiveness estimates (D/ρ) from routine single-modality MRI segmentation data on consumer GPU hardware in under 10 minutes per case. The system achieves D/ρ accuracy of 29.1% mean error for identifiable cases (D/ρ ∈ [0.07, 0.19]), comparable to single-modality benchmarks in the literature, with full transparency about identifiability limits.</w:t>
      </w:r>
    </w:p>
    <w:p>
      <w:pPr>
        <w:spacing w:after="120" w:before="0" w:line="276"/>
        <w:jc w:val="both"/>
      </w:pPr>
      <w:r>
        <w:rPr>
          <w:rFonts w:ascii="Times New Roman" w:cs="Times New Roman" w:eastAsia="Times New Roman" w:hAnsi="Times New Roman"/>
          <w:b w:val="false"/>
          <w:bCs w:val="false"/>
          <w:i w:val="false"/>
          <w:iCs w:val="false"/>
          <w:color w:val="000000"/>
          <w:sz w:val="22"/>
          <w:szCs w:val="22"/>
        </w:rPr>
        <w:t xml:space="preserve">The open-source release provides a reproducible foundation for physics-based digital tumor twins in neuro-oncology: complete clinical pipeline, 3D VTK visualization, automated PDF reporting, batch BraTS processing, and scientific validation scripts. All code, data, and the present manuscript are available at github.com/vicho141981/nexus-Medical.</w:t>
      </w:r>
    </w:p>
    <w:p>
      <w:pPr>
        <w:pStyle w:val="Heading1"/>
        <w:spacing w:after="180" w:before="360"/>
      </w:pPr>
      <w:r>
        <w:rPr>
          <w:rFonts w:ascii="Arial" w:cs="Arial" w:eastAsia="Arial" w:hAnsi="Arial"/>
          <w:b/>
          <w:bCs/>
          <w:color w:val="2E74B5"/>
          <w:sz w:val="28"/>
          <w:szCs w:val="28"/>
        </w:rPr>
        <w:t xml:space="preserve">References</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[1] Stupp, R. et al. (2005). Radiotherapy plus concomitant and adjuvant temozolomide for glioblastoma. New England Journal of Medicine, 352(10), 987-996.</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[2] Swanson, K.R., Alvord, E.C., Murray, J.D. (2000). A quantitative model for differential motility of gliomas in grey and white matter. Cell Proliferation, 33(5), 317-329.</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[3] Raissi, M., Perdikaris, P., Karniadakis, G.E. (2019). Physics-informed neural networks: A deep learning framework for solving forward and inverse problems involving nonlinear partial differential equations. Journal of Computational Physics, 378, 686-707.</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[4] Zhang, C. et al. (2024). Personalized Predictions of Glioblastoma Infiltration from Sparse Spatiotemporal Measurements. Medical Image Analysis. DOI: 10.1016/j.media.2024.103423 (arXiv:2311.16536)</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[5] Tancik, M. et al. (2020). Fourier features let networks learn high frequency functions in low dimensional domains. Advances in Neural Information Processing Systems, 33, 7537-7547.</w:t>
      </w:r>
    </w:p>
    <w:p>
      <w:pPr>
        <w:spacing w:after="80" w:before="0" w:line="276"/>
        <w:jc w:val="left"/>
      </w:pPr>
      <w:r>
        <w:rPr>
          <w:rFonts w:ascii="Times New Roman" w:cs="Times New Roman" w:eastAsia="Times New Roman" w:hAnsi="Times New Roman"/>
          <w:b w:val="false"/>
          <w:bCs w:val="false"/>
          <w:i w:val="false"/>
          <w:iCs w:val="false"/>
          <w:color w:val="000000"/>
          <w:sz w:val="22"/>
          <w:szCs w:val="22"/>
        </w:rPr>
        <w:t xml:space="preserve">[6] Menze, B.H. et al. (2015). The Multimodal Brain Tumor Image Segmentation Benchmark (BraTS). IEEE Transactions on Medical Imaging, 34(10), 1993-2024.</w:t>
      </w:r>
    </w:p>
    <w:sectPr>
      <w:footerReference w:type="default" r:id="rId7"/>
      <w:pgSz w:w="11906" w:h="16838" w:orient="portrait"/>
      <w:pgMar w:top="1440" w:right="1134" w:bottom="144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NEXUS Medical — David Alonso C. —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74B5"/>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74B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2026-04-14T14:44:24.401Z</dcterms:created>
  <dcterms:modified xsi:type="dcterms:W3CDTF">2026-04-14T14:44:24.402Z</dcterms:modified>
</cp:coreProperties>
</file>

<file path=docProps/custom.xml><?xml version="1.0" encoding="utf-8"?>
<Properties xmlns="http://schemas.openxmlformats.org/officeDocument/2006/custom-properties" xmlns:vt="http://schemas.openxmlformats.org/officeDocument/2006/docPropsVTypes"/>
</file>