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300" w:line="247" w:lineRule="auto" w:after="60"/>
        <w:jc w:val="center"/>
      </w:pPr>
      <w:r>
        <w:rPr>
          <w:rFonts w:ascii="Times New Roman" w:hAnsi="Times New Roman"/>
          <w:b/>
          <w:sz w:val="44"/>
        </w:rPr>
        <w:t>PROJECT SETU</w:t>
      </w:r>
    </w:p>
    <w:p>
      <w:pPr>
        <w:widowControl/>
        <w:spacing w:line="247" w:lineRule="auto" w:after="60"/>
        <w:jc w:val="center"/>
      </w:pPr>
      <w:r>
        <w:rPr>
          <w:rFonts w:ascii="Times New Roman" w:hAnsi="Times New Roman"/>
          <w:b/>
          <w:sz w:val="30"/>
        </w:rPr>
        <w:t>SYSTEMIC INTEROPERABILITY &amp; FEDERATED CITIZEN SERVICE ORCHESTRATION</w:t>
      </w:r>
    </w:p>
    <w:p>
      <w:pPr>
        <w:widowControl/>
        <w:spacing w:line="247" w:lineRule="auto" w:after="60"/>
        <w:jc w:val="center"/>
      </w:pPr>
      <w:r>
        <w:rPr>
          <w:i/>
          <w:sz w:val="24"/>
        </w:rPr>
        <w:t>Technical / Patent-Style Specification</w:t>
      </w:r>
    </w:p>
    <w:p>
      <w:pPr>
        <w:widowControl/>
        <w:spacing w:line="247" w:lineRule="auto" w:after="60"/>
        <w:jc w:val="center"/>
      </w:pPr>
      <w:r>
        <w:rPr>
          <w:b w:val="0"/>
          <w:i w:val="0"/>
        </w:rPr>
        <w:t>A middleware-based interoperability and federated citizen service orchestration platform that connects fragmented government digital systems through a common, consent-driven and life-event oriented service layer.</w:t>
      </w:r>
    </w:p>
    <w:p>
      <w:r>
        <w:br w:type="page"/>
      </w:r>
    </w:p>
    <w:p>
      <w:pPr>
        <w:pStyle w:val="PatentH1"/>
        <w:widowControl/>
        <w:spacing w:line="247" w:lineRule="auto" w:after="60"/>
      </w:pPr>
      <w:r>
        <w:t>FIELD OF THE INVENTION</w:t>
      </w:r>
    </w:p>
    <w:p>
      <w:pPr>
        <w:widowControl/>
        <w:spacing w:line="247" w:lineRule="auto" w:after="60"/>
        <w:jc w:val="both"/>
      </w:pPr>
      <w:r>
        <w:rPr>
          <w:b w:val="0"/>
          <w:i w:val="0"/>
        </w:rPr>
        <w:t>The present project relates to government digital service delivery and, more particularly, to a middleware-based interoperability and federated service orchestration platform for connecting independent departmental portals, registries, databases, workflow engines and authentication systems. The platform, referred to as Project SETU (Seamless Exchange &amp; Transformative Ubiquity / सेतु), is designed to provide citizens with unified, consent-driven and multilingual access to services without requiring replacement of existing departmental systems.</w:t>
      </w:r>
    </w:p>
    <w:p>
      <w:pPr>
        <w:pStyle w:val="PatentH1"/>
        <w:widowControl/>
        <w:spacing w:line="247" w:lineRule="auto" w:after="60"/>
      </w:pPr>
      <w:r>
        <w:t>BACKGROUND OF THE INVENTION</w:t>
      </w:r>
    </w:p>
    <w:p>
      <w:pPr>
        <w:widowControl/>
        <w:spacing w:line="247" w:lineRule="auto" w:after="60"/>
        <w:jc w:val="both"/>
      </w:pPr>
      <w:r>
        <w:rPr>
          <w:b w:val="0"/>
          <w:i w:val="0"/>
        </w:rPr>
        <w:t>Government departments commonly operate multiple digital portals, mobile applications, registries, workflow engines and databases that have been developed independently over a period of time. Differences in data formats, identifiers, authentication mechanisms and API standards make direct exchange between these systems difficult.</w:t>
      </w:r>
    </w:p>
    <w:p>
      <w:pPr>
        <w:widowControl/>
        <w:spacing w:line="247" w:lineRule="auto" w:after="60"/>
        <w:jc w:val="both"/>
      </w:pPr>
      <w:r>
        <w:rPr>
          <w:b w:val="0"/>
          <w:i w:val="0"/>
        </w:rPr>
        <w:t>For citizens, this fragmentation can result in repeated submission of the same information, repeated document uploads and separate tracking of applications on different portals. A citizen may also need to understand which department is responsible for a particular certificate or service before beginning an application.</w:t>
      </w:r>
    </w:p>
    <w:p>
      <w:pPr>
        <w:widowControl/>
        <w:spacing w:line="247" w:lineRule="auto" w:after="60"/>
        <w:jc w:val="both"/>
      </w:pPr>
      <w:r>
        <w:rPr>
          <w:b w:val="0"/>
          <w:i w:val="0"/>
        </w:rPr>
        <w:t>For government administrators, the same fragmentation can make it difficult to maintain a consolidated view of beneficiaries and service requests. It can also create difficulties in identifying duplicate claims, monitoring inter-departmental dependencies and obtaining end-to-end visibility of service-level commitments.</w:t>
      </w:r>
    </w:p>
    <w:p>
      <w:pPr>
        <w:widowControl/>
        <w:spacing w:line="247" w:lineRule="auto" w:after="60"/>
        <w:jc w:val="both"/>
      </w:pPr>
      <w:r>
        <w:rPr>
          <w:b w:val="0"/>
          <w:i w:val="0"/>
        </w:rPr>
        <w:t>The core engineering requirement addressed by Project SETU is therefore to provide secure and standards-based interoperability between existing systems without requiring a wholesale replacement of legacy departmental applications.</w:t>
      </w:r>
    </w:p>
    <w:p>
      <w:pPr>
        <w:pStyle w:val="PatentH1"/>
        <w:widowControl/>
        <w:spacing w:line="247" w:lineRule="auto" w:after="60"/>
      </w:pPr>
      <w:r>
        <w:t>CASE STUDY AND BASELINE REFERENCE</w:t>
      </w:r>
    </w:p>
    <w:p>
      <w:pPr>
        <w:widowControl/>
        <w:spacing w:line="247" w:lineRule="auto" w:after="60"/>
        <w:jc w:val="both"/>
      </w:pPr>
      <w:r>
        <w:rPr>
          <w:b w:val="0"/>
          <w:i w:val="0"/>
        </w:rPr>
        <w:t>The project uses Aaple Sarkar, the Right to Services portal of Maharashtra, as a benchmark reference for understanding the service-delivery environment. The reference material identifies departmental organization, repeated document submission, sequential service workflows, language accessibility and fragmented database synchronization as structural areas that can be improved through an interoperability layer.</w:t>
      </w:r>
    </w:p>
    <w:tbl>
      <w:tblPr>
        <w:tblStyle w:val="TableGrid"/>
        <w:tblW w:type="auto" w:w="0"/>
        <w:jc w:val="center"/>
        <w:tblLayout w:type="autofit"/>
        <w:tblLook w:firstColumn="1" w:firstRow="1" w:lastColumn="0" w:lastRow="0" w:noHBand="0" w:noVBand="1" w:val="04A0"/>
      </w:tblPr>
      <w:tblGrid>
        <w:gridCol w:w="3154"/>
        <w:gridCol w:w="3154"/>
        <w:gridCol w:w="3154"/>
      </w:tblGrid>
      <w:tr>
        <w:tc>
          <w:tcPr>
            <w:tcW w:type="dxa" w:w="3154"/>
            <w:vAlign w:val="center"/>
            <w:tcMar>
              <w:top w:w="70" w:type="dxa"/>
              <w:start w:w="80" w:type="dxa"/>
              <w:bottom w:w="70" w:type="dxa"/>
              <w:end w:w="80" w:type="dxa"/>
            </w:tcMar>
            <w:shd w:fill="D9D9D9"/>
          </w:tcPr>
          <w:p>
            <w:pPr>
              <w:spacing w:after="20" w:line="240" w:lineRule="auto"/>
            </w:pPr>
            <w:r>
              <w:rPr>
                <w:rFonts w:ascii="Times New Roman" w:hAnsi="Times New Roman"/>
                <w:b/>
                <w:sz w:val="18"/>
              </w:rPr>
              <w:t>Dimension</w:t>
            </w:r>
          </w:p>
        </w:tc>
        <w:tc>
          <w:tcPr>
            <w:tcW w:type="dxa" w:w="3154"/>
            <w:vAlign w:val="center"/>
            <w:tcMar>
              <w:top w:w="70" w:type="dxa"/>
              <w:start w:w="80" w:type="dxa"/>
              <w:bottom w:w="70" w:type="dxa"/>
              <w:end w:w="80" w:type="dxa"/>
            </w:tcMar>
            <w:shd w:fill="D9D9D9"/>
          </w:tcPr>
          <w:p>
            <w:pPr>
              <w:spacing w:after="20" w:line="240" w:lineRule="auto"/>
            </w:pPr>
            <w:r>
              <w:rPr>
                <w:rFonts w:ascii="Times New Roman" w:hAnsi="Times New Roman"/>
                <w:b/>
                <w:sz w:val="18"/>
              </w:rPr>
              <w:t>Existing Reality</w:t>
            </w:r>
          </w:p>
        </w:tc>
        <w:tc>
          <w:tcPr>
            <w:tcW w:type="dxa" w:w="3154"/>
            <w:vAlign w:val="center"/>
            <w:tcMar>
              <w:top w:w="70" w:type="dxa"/>
              <w:start w:w="80" w:type="dxa"/>
              <w:bottom w:w="70" w:type="dxa"/>
              <w:end w:w="80" w:type="dxa"/>
            </w:tcMar>
            <w:shd w:fill="D9D9D9"/>
          </w:tcPr>
          <w:p>
            <w:pPr>
              <w:spacing w:after="20" w:line="240" w:lineRule="auto"/>
            </w:pPr>
            <w:r>
              <w:rPr>
                <w:rFonts w:ascii="Times New Roman" w:hAnsi="Times New Roman"/>
                <w:b/>
                <w:sz w:val="18"/>
              </w:rPr>
              <w:t>Structural Challenge</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Information Architecture</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Services are organized by departmental silos such as Revenue, Rural and Labour.</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Citizens may need prior knowledge of administrative departments to locate a required service.</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Data Redundancy</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Applications may require certificates and identity documents already submitted elsewhere.</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The same documents may be uploaded repeatedly across departments.</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Service Pipeline</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Separate workflows are generally handled as separate application journeys.</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Prerequisite dependencies can require manual intervention by the citizen.</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Linguistic Accessibility</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English and Marathi interfaces are available with conventional translated text.</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Formal legal terminology may remain difficult for semi-literate or rural users.</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Interoperability</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Departmental systems may rely on isolated APIs or batch transfers.</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Data synchronization and manual re-verification create administrative overhead.</w:t>
            </w:r>
          </w:p>
        </w:tc>
      </w:tr>
    </w:tbl>
    <w:p>
      <w:pPr>
        <w:pStyle w:val="PatentH1"/>
        <w:widowControl/>
        <w:spacing w:line="247" w:lineRule="auto" w:after="60"/>
      </w:pPr>
      <w:r>
        <w:t>AIM AND PROJECT OBJECTIVES</w:t>
      </w:r>
    </w:p>
    <w:p>
      <w:pPr>
        <w:widowControl/>
        <w:spacing w:line="247" w:lineRule="auto" w:after="60"/>
        <w:jc w:val="both"/>
      </w:pPr>
      <w:r>
        <w:rPr>
          <w:b w:val="0"/>
          <w:i w:val="0"/>
        </w:rPr>
        <w:t>The aim of Project SETU is to design and demonstrate a non-invasive middleware platform that connects fragmented government digital systems and converts individual departmental services into unified, citizen-centric life-event journeys. The platform is intended to reduce repetitive data entry, simplify service discovery, coordinate dependencies between departments and provide consent-driven reuse of verified information.</w:t>
      </w:r>
    </w:p>
    <w:p>
      <w:pPr>
        <w:pStyle w:val="ListBullet"/>
        <w:widowControl/>
        <w:spacing w:after="60" w:line="247" w:lineRule="auto"/>
      </w:pPr>
      <w:r>
        <w:t>Provide a common interoperability layer between independent government departmental systems.</w:t>
      </w:r>
    </w:p>
    <w:p>
      <w:pPr>
        <w:pStyle w:val="ListBullet"/>
        <w:widowControl/>
        <w:spacing w:after="60" w:line="247" w:lineRule="auto"/>
      </w:pPr>
      <w:r>
        <w:t>Allow citizens to describe a need or life event instead of identifying the responsible department and service manually.</w:t>
      </w:r>
    </w:p>
    <w:p>
      <w:pPr>
        <w:pStyle w:val="ListBullet"/>
        <w:widowControl/>
        <w:spacing w:after="60" w:line="247" w:lineRule="auto"/>
      </w:pPr>
      <w:r>
        <w:t>Support multilingual and conversational interaction in English, Marathi, Hindi and extensible regional forms.</w:t>
      </w:r>
    </w:p>
    <w:p>
      <w:pPr>
        <w:pStyle w:val="ListBullet"/>
        <w:widowControl/>
        <w:spacing w:after="60" w:line="247" w:lineRule="auto"/>
      </w:pPr>
      <w:r>
        <w:t>Reuse verified citizen information and documents with explicit, granular and time-bound consent.</w:t>
      </w:r>
    </w:p>
    <w:p>
      <w:pPr>
        <w:pStyle w:val="ListBullet"/>
        <w:widowControl/>
        <w:spacing w:after="60" w:line="247" w:lineRule="auto"/>
      </w:pPr>
      <w:r>
        <w:t>Automatically identify prerequisites and coordinate dependent services across departments.</w:t>
      </w:r>
    </w:p>
    <w:p>
      <w:pPr>
        <w:pStyle w:val="ListBullet"/>
        <w:widowControl/>
        <w:spacing w:after="60" w:line="247" w:lineRule="auto"/>
      </w:pPr>
      <w:r>
        <w:t>Provide a unified application and journey timeline for cross-departmental requests.</w:t>
      </w:r>
    </w:p>
    <w:p>
      <w:pPr>
        <w:pStyle w:val="ListBullet"/>
        <w:widowControl/>
        <w:spacing w:after="60" w:line="247" w:lineRule="auto"/>
      </w:pPr>
      <w:r>
        <w:t>Connect legacy systems through configurable REST, SOAP/XML, database and message-broker adapters without replacing original systems.</w:t>
      </w:r>
    </w:p>
    <w:p>
      <w:pPr>
        <w:pStyle w:val="ListBullet"/>
        <w:widowControl/>
        <w:spacing w:after="60" w:line="247" w:lineRule="auto"/>
      </w:pPr>
      <w:r>
        <w:t>Maintain security, privacy, auditability and controlled data exchange across departmental boundaries.</w:t>
      </w:r>
    </w:p>
    <w:p>
      <w:pPr>
        <w:pStyle w:val="PatentH1"/>
        <w:widowControl/>
        <w:spacing w:line="247" w:lineRule="auto" w:after="60"/>
      </w:pPr>
      <w:r>
        <w:t>SUMMARY OF THE INVENTION</w:t>
      </w:r>
    </w:p>
    <w:p>
      <w:pPr>
        <w:widowControl/>
        <w:spacing w:line="247" w:lineRule="auto" w:after="60"/>
        <w:jc w:val="both"/>
      </w:pPr>
      <w:r>
        <w:rPr>
          <w:b w:val="0"/>
          <w:i w:val="0"/>
        </w:rPr>
        <w:t>Project SETU provides a middleware interoperability and federated service delivery orchestration platform positioned between citizens and existing government departmental systems. Instead of replacing legacy databases and portals, SETU provides a common orchestration layer that connects them through reusable adapters and standardized interfaces.</w:t>
      </w:r>
    </w:p>
    <w:p>
      <w:pPr>
        <w:widowControl/>
        <w:spacing w:line="247" w:lineRule="auto" w:after="60"/>
        <w:jc w:val="both"/>
      </w:pPr>
      <w:r>
        <w:rPr>
          <w:b w:val="0"/>
          <w:i w:val="0"/>
        </w:rPr>
        <w:t>The platform combines a multilingual conversational interface, a Life-Event Service Discovery Engine, Federated Identity and Master Data Management, a non-invasive Adapter and Connector Mesh, a Consent-Driven Document Vault and a Unified Journey Orchestrator with SLA monitoring.</w:t>
      </w:r>
    </w:p>
    <w:p>
      <w:pPr>
        <w:widowControl/>
        <w:spacing w:line="247" w:lineRule="auto" w:after="60"/>
        <w:jc w:val="both"/>
      </w:pPr>
      <w:r>
        <w:rPr>
          <w:b w:val="0"/>
          <w:i w:val="0"/>
        </w:rPr>
        <w:t>The system identifies related services and prerequisites automatically. For example, a higher-education admission journey may require a Domicile and Nationality Certificate, Income Certificate, Caste Validity and a Post-Matric Scholarship or fee-concession service. SETU represents these dependencies as a workflow graph, reuses verified records when permitted, initiates missing prerequisite services and presents the citizen with a unified progress view.</w:t>
      </w:r>
    </w:p>
    <w:p>
      <w:pPr>
        <w:widowControl/>
        <w:spacing w:line="247" w:lineRule="auto" w:after="60"/>
        <w:jc w:val="both"/>
      </w:pPr>
      <w:r>
        <w:rPr>
          <w:b w:val="0"/>
          <w:i w:val="0"/>
        </w:rPr>
        <w:t>The platform also supports a transition from department-centric access to need-centric access: the citizen states a goal, SETU identifies the relevant service bundle, evaluates the citizen profile and document state, requests consent where necessary, activates the appropriate department connector and tracks the complete journey.</w:t>
      </w:r>
    </w:p>
    <w:p>
      <w:pPr>
        <w:pStyle w:val="PatentH1"/>
        <w:widowControl/>
        <w:spacing w:line="247" w:lineRule="auto" w:after="60"/>
      </w:pPr>
      <w:r>
        <w:t>BRIEF DESCRIPTION OF THE DRAWINGS</w:t>
      </w:r>
    </w:p>
    <w:p>
      <w:pPr>
        <w:widowControl/>
        <w:spacing w:line="247" w:lineRule="auto" w:after="60" w:before="40"/>
        <w:jc w:val="center"/>
      </w:pPr>
      <w:r>
        <w:rPr>
          <w:b/>
          <w:i w:val="0"/>
          <w:sz w:val="19"/>
        </w:rPr>
        <w:t>FIG. 1 illustrates the overall system architecture of Project SETU, including the citizen interface, interoperability and orchestration modules, reusable connector mesh and existing departmental systems.</w:t>
      </w:r>
    </w:p>
    <w:p>
      <w:pPr>
        <w:widowControl/>
        <w:spacing w:line="247" w:lineRule="auto" w:after="60" w:before="40"/>
        <w:jc w:val="center"/>
      </w:pPr>
      <w:r>
        <w:rPr>
          <w:b/>
          <w:i w:val="0"/>
          <w:sz w:val="19"/>
        </w:rPr>
        <w:t>FIG. 2 illustrates a life-event orchestration flow for a college-admission and scholarship journey, showing service discovery, profile and document checks, eligibility and dependency analysis, consent, department initiation and unified tracking.</w:t>
      </w:r>
    </w:p>
    <w:p>
      <w:pPr>
        <w:widowControl/>
        <w:spacing w:line="247" w:lineRule="auto" w:after="60" w:before="40"/>
        <w:jc w:val="center"/>
      </w:pPr>
      <w:r>
        <w:rPr>
          <w:b/>
          <w:i w:val="0"/>
          <w:sz w:val="19"/>
        </w:rPr>
        <w:t>FIG. 3 illustrates consent-driven data exchange and verification, showing how the unified citizen profile, consent manager, document vault and participating departments interact.</w:t>
      </w:r>
    </w:p>
    <w:p>
      <w:pPr>
        <w:widowControl/>
        <w:spacing w:line="247" w:lineRule="auto" w:after="60" w:before="40"/>
        <w:jc w:val="center"/>
      </w:pPr>
      <w:r>
        <w:rPr>
          <w:b/>
          <w:i w:val="0"/>
          <w:sz w:val="19"/>
        </w:rPr>
        <w:t>FIG. 4 illustrates the service dependency graph and unlocking logic, in which the state of an upstream prerequisite controls the availability of a downstream service.</w:t>
      </w:r>
    </w:p>
    <w:p>
      <w:pPr>
        <w:widowControl/>
        <w:spacing w:line="247" w:lineRule="auto" w:after="60" w:before="40"/>
        <w:jc w:val="center"/>
      </w:pPr>
      <w:r>
        <w:rPr>
          <w:b/>
          <w:i w:val="0"/>
          <w:sz w:val="19"/>
        </w:rPr>
        <w:t>FIG. 5 illustrates non-invasive connector and API isolation, showing how changes in a department-specific API can be contained within its adapter while the SETU orchestration contract remains stable.</w:t>
      </w:r>
    </w:p>
    <w:p>
      <w:r>
        <w:br w:type="page"/>
      </w:r>
    </w:p>
    <w:p>
      <w:pPr>
        <w:widowControl/>
        <w:spacing w:line="247" w:lineRule="auto" w:after="60" w:before="40"/>
        <w:jc w:val="center"/>
      </w:pPr>
      <w:r>
        <w:rPr>
          <w:rFonts w:ascii="Times New Roman" w:hAnsi="Times New Roman"/>
          <w:b/>
          <w:sz w:val="19"/>
        </w:rPr>
        <w:t>FIG. 1 — System Architecture of Project SETU</w:t>
      </w:r>
    </w:p>
    <w:p>
      <w:r>
        <w:br w:type="page"/>
      </w:r>
    </w:p>
    <w:p>
      <w:pPr>
        <w:widowControl/>
        <w:spacing w:line="247" w:lineRule="auto" w:after="60" w:before="40"/>
        <w:jc w:val="center"/>
      </w:pPr>
      <w:r>
        <w:rPr>
          <w:rFonts w:ascii="Times New Roman" w:hAnsi="Times New Roman"/>
          <w:b/>
          <w:sz w:val="19"/>
        </w:rPr>
        <w:t>FIG. 2 — Life-Event Orchestration: College Admission</w:t>
      </w:r>
    </w:p>
    <w:p>
      <w:r>
        <w:br w:type="page"/>
      </w:r>
    </w:p>
    <w:p>
      <w:pPr>
        <w:widowControl/>
        <w:spacing w:line="247" w:lineRule="auto" w:after="60" w:before="40"/>
        <w:jc w:val="center"/>
      </w:pPr>
      <w:r>
        <w:rPr>
          <w:rFonts w:ascii="Times New Roman" w:hAnsi="Times New Roman"/>
          <w:b/>
          <w:sz w:val="19"/>
        </w:rPr>
        <w:t>FIG. 3 — Consent-Driven Data Exchange and Verification</w:t>
      </w:r>
    </w:p>
    <w:p>
      <w:r>
        <w:br w:type="page"/>
      </w:r>
    </w:p>
    <w:p>
      <w:pPr>
        <w:widowControl/>
        <w:spacing w:line="247" w:lineRule="auto" w:after="60" w:before="40"/>
        <w:jc w:val="center"/>
      </w:pPr>
      <w:r>
        <w:rPr>
          <w:rFonts w:ascii="Times New Roman" w:hAnsi="Times New Roman"/>
          <w:b/>
          <w:sz w:val="19"/>
        </w:rPr>
        <w:t>FIG. 4 — Service Dependency Graph and Unlocking Logic</w:t>
      </w:r>
    </w:p>
    <w:p>
      <w:r>
        <w:br w:type="page"/>
      </w:r>
    </w:p>
    <w:p>
      <w:pPr>
        <w:widowControl/>
        <w:spacing w:line="247" w:lineRule="auto" w:after="60" w:before="40"/>
        <w:jc w:val="center"/>
      </w:pPr>
      <w:r>
        <w:rPr>
          <w:rFonts w:ascii="Times New Roman" w:hAnsi="Times New Roman"/>
          <w:b/>
          <w:sz w:val="19"/>
        </w:rPr>
        <w:t>FIG. 5 — Non-Invasive Connector and API Isolation</w:t>
      </w:r>
    </w:p>
    <w:p>
      <w:r>
        <w:br w:type="page"/>
      </w:r>
    </w:p>
    <w:p>
      <w:pPr>
        <w:pStyle w:val="PatentH1"/>
        <w:widowControl/>
        <w:spacing w:line="247" w:lineRule="auto" w:after="60"/>
      </w:pPr>
      <w:r>
        <w:t>DETAILED DESCRIPTION OF THE INVENTION</w:t>
      </w:r>
    </w:p>
    <w:p>
      <w:pPr>
        <w:widowControl/>
        <w:spacing w:line="247" w:lineRule="auto" w:after="60"/>
        <w:jc w:val="both"/>
      </w:pPr>
      <w:r>
        <w:rPr>
          <w:b w:val="0"/>
          <w:i w:val="0"/>
        </w:rPr>
        <w:t>The following description explains the architecture, operation and interaction of the components of Project SETU. The description is intended to define the technical operation of the proposed system rather than merely describe a user interface.</w:t>
      </w:r>
    </w:p>
    <w:p>
      <w:pPr>
        <w:pStyle w:val="PatentH2"/>
        <w:widowControl/>
        <w:spacing w:line="247" w:lineRule="auto" w:after="60"/>
      </w:pPr>
      <w:r>
        <w:t>6.1 Citizen-Facing Interaction Layer</w:t>
      </w:r>
    </w:p>
    <w:p>
      <w:pPr>
        <w:widowControl/>
        <w:spacing w:line="247" w:lineRule="auto" w:after="60"/>
        <w:jc w:val="both"/>
      </w:pPr>
      <w:r>
        <w:rPr>
          <w:b w:val="0"/>
          <w:i w:val="0"/>
        </w:rPr>
        <w:t>The citizen-facing layer accepts a service requirement through text, voice or multilingual interaction. The reference design supports English, Marathi and Hindi, with extensible regional language support. Dynamic language switching is intended to preserve the state of an application while the citizen changes the interaction language.</w:t>
      </w:r>
    </w:p>
    <w:p>
      <w:pPr>
        <w:pStyle w:val="PatentH2"/>
        <w:widowControl/>
        <w:spacing w:line="247" w:lineRule="auto" w:after="60"/>
      </w:pPr>
      <w:r>
        <w:t>6.2 Unified Citizen Profile</w:t>
      </w:r>
    </w:p>
    <w:p>
      <w:pPr>
        <w:widowControl/>
        <w:spacing w:line="247" w:lineRule="auto" w:after="60"/>
        <w:jc w:val="both"/>
      </w:pPr>
      <w:r>
        <w:rPr>
          <w:b w:val="0"/>
          <w:i w:val="0"/>
        </w:rPr>
        <w:t>SETU maintains a unified profile containing permitted citizen attributes such as name, date of birth, gender, address and federated identifiers. The profile is used to reduce repeated entry of information and to determine which verified records may satisfy the requirements of a requested service.</w:t>
      </w:r>
    </w:p>
    <w:p>
      <w:pPr>
        <w:pStyle w:val="PatentH2"/>
        <w:widowControl/>
        <w:spacing w:line="247" w:lineRule="auto" w:after="60"/>
      </w:pPr>
      <w:r>
        <w:t>6.3 Life-Event Service Discovery</w:t>
      </w:r>
    </w:p>
    <w:p>
      <w:pPr>
        <w:widowControl/>
        <w:spacing w:line="247" w:lineRule="auto" w:after="60"/>
        <w:jc w:val="both"/>
      </w:pPr>
      <w:r>
        <w:rPr>
          <w:b w:val="0"/>
          <w:i w:val="0"/>
        </w:rPr>
        <w:t>The Life-Event Service Discovery Engine maps individual government services into larger service bundles. Instead of requiring the citizen to select a department first, the system can interpret a need such as engineering college admission and identify related services such as domicile, income, caste validity and scholarship. Service relationships are represented as a dependency graph so that prerequisites can be processed in the appropriate order.</w:t>
      </w:r>
    </w:p>
    <w:p>
      <w:pPr>
        <w:pStyle w:val="PatentH2"/>
        <w:widowControl/>
        <w:spacing w:line="247" w:lineRule="auto" w:after="60"/>
      </w:pPr>
      <w:r>
        <w:t>6.4 Eligibility and Smart Rules</w:t>
      </w:r>
    </w:p>
    <w:p>
      <w:pPr>
        <w:widowControl/>
        <w:spacing w:line="247" w:lineRule="auto" w:after="60"/>
        <w:jc w:val="both"/>
      </w:pPr>
      <w:r>
        <w:rPr>
          <w:b w:val="0"/>
          <w:i w:val="0"/>
        </w:rPr>
        <w:t>The Eligibility Engine evaluates configured rules against permitted profile attributes and document states. The reference design distinguishes eligibility evaluation from orchestration: the rules determine whether a service or benefit is applicable, while the orchestration engine determines which service must be executed and in what order.</w:t>
      </w:r>
    </w:p>
    <w:p>
      <w:pPr>
        <w:pStyle w:val="PatentH2"/>
        <w:widowControl/>
        <w:spacing w:line="247" w:lineRule="auto" w:after="60"/>
      </w:pPr>
      <w:r>
        <w:t>6.5 Document Vault and Verification</w:t>
      </w:r>
    </w:p>
    <w:p>
      <w:pPr>
        <w:widowControl/>
        <w:spacing w:line="247" w:lineRule="auto" w:after="60"/>
        <w:jc w:val="both"/>
      </w:pPr>
      <w:r>
        <w:rPr>
          <w:b w:val="0"/>
          <w:i w:val="0"/>
        </w:rPr>
        <w:t>The Document Vault stores or references verified credentials and records their state, including states such as uploaded, under review, verified and rejected. The vault is not intended to replace authoritative document sources such as DigiLocker. Instead, it provides the orchestration-facing layer that knows which verified document satisfies which service dependency and controls when that document can be shared through consent.</w:t>
      </w:r>
    </w:p>
    <w:p>
      <w:pPr>
        <w:pStyle w:val="PatentH2"/>
        <w:widowControl/>
        <w:spacing w:line="247" w:lineRule="auto" w:after="60"/>
      </w:pPr>
      <w:r>
        <w:t>6.6 Consent Manager</w:t>
      </w:r>
    </w:p>
    <w:p>
      <w:pPr>
        <w:widowControl/>
        <w:spacing w:line="247" w:lineRule="auto" w:after="60"/>
        <w:jc w:val="both"/>
      </w:pPr>
      <w:r>
        <w:rPr>
          <w:b w:val="0"/>
          <w:i w:val="0"/>
        </w:rPr>
        <w:t>Consent is modeled as an explicit state rather than a simple interface checkbox. A consent record can specify the requesting department, providing department, purpose, attributes disclosed, authorization time and expiry. Revocation prevents future unauthorized sharing and is recorded in the audit trail.</w:t>
      </w:r>
    </w:p>
    <w:p>
      <w:pPr>
        <w:pStyle w:val="PatentH2"/>
        <w:widowControl/>
        <w:spacing w:line="247" w:lineRule="auto" w:after="60"/>
      </w:pPr>
      <w:r>
        <w:t>6.7 Integration Hub and Connector Mesh</w:t>
      </w:r>
    </w:p>
    <w:p>
      <w:pPr>
        <w:widowControl/>
        <w:spacing w:line="247" w:lineRule="auto" w:after="60"/>
        <w:jc w:val="both"/>
      </w:pPr>
      <w:r>
        <w:rPr>
          <w:b w:val="0"/>
          <w:i w:val="0"/>
        </w:rPr>
        <w:t>The Integration Hub provides a normalized contract between the orchestration layer and department-specific connectors. The reference design includes REST, GraphQL, SOAP/XML, database read replicas, webhooks and message-broker communication such as Kafka or RabbitMQ. Department-specific implementation details are isolated inside connectors so that a change in one department API does not require redesign of the citizen interface or core orchestration contract.</w:t>
      </w:r>
    </w:p>
    <w:p>
      <w:pPr>
        <w:pStyle w:val="PatentH2"/>
        <w:widowControl/>
        <w:spacing w:line="247" w:lineRule="auto" w:after="60"/>
      </w:pPr>
      <w:r>
        <w:t>6.8 Orchestration Engine</w:t>
      </w:r>
    </w:p>
    <w:p>
      <w:pPr>
        <w:widowControl/>
        <w:spacing w:line="247" w:lineRule="auto" w:after="60"/>
        <w:jc w:val="both"/>
      </w:pPr>
      <w:r>
        <w:rPr>
          <w:b w:val="0"/>
          <w:i w:val="0"/>
        </w:rPr>
        <w:t>The orchestration engine manages long-running workflows and their state transitions. It can represent processing, completion, failure or rejection of a service and propagate dependency consequences. For example, if an Income Certificate is rejected, a dependent scholarship workflow can remain blocked while the journey identifies the prerequisite that requires attention.</w:t>
      </w:r>
    </w:p>
    <w:p>
      <w:pPr>
        <w:pStyle w:val="PatentH2"/>
        <w:widowControl/>
        <w:spacing w:line="247" w:lineRule="auto" w:after="60"/>
      </w:pPr>
      <w:r>
        <w:t>6.9 Unified Journey Tracker</w:t>
      </w:r>
    </w:p>
    <w:p>
      <w:pPr>
        <w:widowControl/>
        <w:spacing w:line="247" w:lineRule="auto" w:after="60"/>
        <w:jc w:val="both"/>
      </w:pPr>
      <w:r>
        <w:rPr>
          <w:b w:val="0"/>
          <w:i w:val="0"/>
        </w:rPr>
        <w:t>The Journey Tracker converts multiple department-level tracking identifiers into a single journey timeline. The timeline records milestones, current department or action, service state, dependency state and the next action required. This provides the citizen with a single view of an otherwise distributed workflow.</w:t>
      </w:r>
    </w:p>
    <w:p>
      <w:pPr>
        <w:pStyle w:val="PatentH2"/>
        <w:widowControl/>
        <w:spacing w:line="247" w:lineRule="auto" w:after="60"/>
      </w:pPr>
      <w:r>
        <w:t>6.10 SLA Monitoring and Notifications</w:t>
      </w:r>
    </w:p>
    <w:p>
      <w:pPr>
        <w:widowControl/>
        <w:spacing w:line="247" w:lineRule="auto" w:after="60"/>
        <w:jc w:val="both"/>
      </w:pPr>
      <w:r>
        <w:rPr>
          <w:b w:val="0"/>
          <w:i w:val="0"/>
        </w:rPr>
        <w:t>SETU maintains service-level information across the journey. When an upstream service is delayed, the platform can preserve the downstream state and expose the dependency rather than requiring the citizen to submit the downstream application again. Notifications and escalation information can be surfaced through the action center and administrative dashboard.</w:t>
      </w:r>
    </w:p>
    <w:p>
      <w:pPr>
        <w:pStyle w:val="PatentH2"/>
        <w:widowControl/>
        <w:spacing w:line="247" w:lineRule="auto" w:after="60"/>
      </w:pPr>
      <w:r>
        <w:t>6.11 Administrative and Operations Layer</w:t>
      </w:r>
    </w:p>
    <w:p>
      <w:pPr>
        <w:widowControl/>
        <w:spacing w:line="247" w:lineRule="auto" w:after="60"/>
        <w:jc w:val="both"/>
      </w:pPr>
      <w:r>
        <w:rPr>
          <w:b w:val="0"/>
          <w:i w:val="0"/>
        </w:rPr>
        <w:t>An administrative layer provides visibility into active journeys, blocked dependencies, service states and SLA conditions. The source design also identifies an operations dashboard, action center and connector monitoring as part of the broader SETU implementation.</w:t>
      </w:r>
    </w:p>
    <w:p>
      <w:pPr>
        <w:pStyle w:val="PatentH2"/>
        <w:widowControl/>
        <w:spacing w:line="247" w:lineRule="auto" w:after="60"/>
      </w:pPr>
      <w:r>
        <w:t>6.12 FLAGSHIP COLLEGE-ADMISSION WORKFLOW</w:t>
      </w:r>
    </w:p>
    <w:p>
      <w:pPr>
        <w:widowControl/>
        <w:spacing w:line="247" w:lineRule="auto" w:after="60"/>
        <w:jc w:val="both"/>
      </w:pPr>
      <w:r>
        <w:rPr>
          <w:b w:val="0"/>
          <w:i w:val="0"/>
        </w:rPr>
        <w:t>Step 1 — Citizen states the goal. The citizen provides the request in Marathi: “मला इंजिनिअरिंग कॉलेज प्रवेशासाठी शिष्यवृत्ती अर्ज करायचा आहे.”</w:t>
      </w:r>
    </w:p>
    <w:p>
      <w:pPr>
        <w:widowControl/>
        <w:spacing w:line="247" w:lineRule="auto" w:after="60"/>
        <w:jc w:val="both"/>
      </w:pPr>
      <w:r>
        <w:rPr>
          <w:b w:val="0"/>
          <w:i w:val="0"/>
        </w:rPr>
        <w:t>Step 2 — SETU identifies the life event. The service discovery layer maps the request to a college-admission and scholarship journey.</w:t>
      </w:r>
    </w:p>
    <w:p>
      <w:pPr>
        <w:widowControl/>
        <w:spacing w:line="247" w:lineRule="auto" w:after="60"/>
        <w:jc w:val="both"/>
      </w:pPr>
      <w:r>
        <w:rPr>
          <w:b w:val="0"/>
          <w:i w:val="0"/>
        </w:rPr>
        <w:t>Step 3 — Profile is checked. The system identifies available federated identity and profile attributes.</w:t>
      </w:r>
    </w:p>
    <w:p>
      <w:pPr>
        <w:widowControl/>
        <w:spacing w:line="247" w:lineRule="auto" w:after="60"/>
        <w:jc w:val="both"/>
      </w:pPr>
      <w:r>
        <w:rPr>
          <w:b w:val="0"/>
          <w:i w:val="0"/>
        </w:rPr>
        <w:t>Step 4 — Eligibility rules run. Configured rules determine which services and benefits apply.</w:t>
      </w:r>
    </w:p>
    <w:p>
      <w:pPr>
        <w:widowControl/>
        <w:spacing w:line="247" w:lineRule="auto" w:after="60"/>
        <w:jc w:val="both"/>
      </w:pPr>
      <w:r>
        <w:rPr>
          <w:b w:val="0"/>
          <w:i w:val="0"/>
        </w:rPr>
        <w:t>Step 5 — Document Vault checks existing records. In the reference scenario, Domicile/Nationality is available, while the Income Certificate is missing or expired.</w:t>
      </w:r>
    </w:p>
    <w:p>
      <w:pPr>
        <w:widowControl/>
        <w:spacing w:line="247" w:lineRule="auto" w:after="60"/>
        <w:jc w:val="both"/>
      </w:pPr>
      <w:r>
        <w:rPr>
          <w:b w:val="0"/>
          <w:i w:val="0"/>
        </w:rPr>
        <w:t>Step 6 — Dependency graph is updated. The scholarship workflow is marked as blocked or waiting because the income prerequisite is unresolved.</w:t>
      </w:r>
    </w:p>
    <w:p>
      <w:pPr>
        <w:widowControl/>
        <w:spacing w:line="247" w:lineRule="auto" w:after="60"/>
        <w:jc w:val="both"/>
      </w:pPr>
      <w:r>
        <w:rPr>
          <w:b w:val="0"/>
          <w:i w:val="0"/>
        </w:rPr>
        <w:t>Step 7 — Consent is requested. The citizen approves the required disclosure or service initiation using a supported consent method.</w:t>
      </w:r>
    </w:p>
    <w:p>
      <w:pPr>
        <w:widowControl/>
        <w:spacing w:line="247" w:lineRule="auto" w:after="60"/>
        <w:jc w:val="both"/>
      </w:pPr>
      <w:r>
        <w:rPr>
          <w:b w:val="0"/>
          <w:i w:val="0"/>
        </w:rPr>
        <w:t>Step 8 — Revenue connector is activated. SETU sends the required Income Certificate request through the department-specific adapter.</w:t>
      </w:r>
    </w:p>
    <w:p>
      <w:pPr>
        <w:widowControl/>
        <w:spacing w:line="247" w:lineRule="auto" w:after="60"/>
        <w:jc w:val="both"/>
      </w:pPr>
      <w:r>
        <w:rPr>
          <w:b w:val="0"/>
          <w:i w:val="0"/>
        </w:rPr>
        <w:t>Step 9 — Journey tracker updates. The citizen sees the current department, milestone and pending dependency.</w:t>
      </w:r>
    </w:p>
    <w:p>
      <w:pPr>
        <w:widowControl/>
        <w:spacing w:line="247" w:lineRule="auto" w:after="60"/>
        <w:jc w:val="both"/>
      </w:pPr>
      <w:r>
        <w:rPr>
          <w:b w:val="0"/>
          <w:i w:val="0"/>
        </w:rPr>
        <w:t>Step 10 — Prerequisite status changes. When the income service becomes verified in the demonstration, the dependency graph is reevaluated.</w:t>
      </w:r>
    </w:p>
    <w:p>
      <w:pPr>
        <w:widowControl/>
        <w:spacing w:line="247" w:lineRule="auto" w:after="60"/>
        <w:jc w:val="both"/>
      </w:pPr>
      <w:r>
        <w:rPr>
          <w:b w:val="0"/>
          <w:i w:val="0"/>
        </w:rPr>
        <w:t>Step 11 — Downstream service becomes actionable. The scholarship journey proceeds without requiring the citizen to restart the complete application.</w:t>
      </w:r>
    </w:p>
    <w:p>
      <w:pPr>
        <w:widowControl/>
        <w:spacing w:line="247" w:lineRule="auto" w:after="60"/>
        <w:jc w:val="both"/>
      </w:pPr>
      <w:r>
        <w:rPr>
          <w:b w:val="0"/>
          <w:i w:val="0"/>
        </w:rPr>
        <w:t>This workflow demonstrates the central SETU principle: Conversation → Action → Dependency → Workflow → Completion.</w:t>
      </w:r>
    </w:p>
    <w:p>
      <w:pPr>
        <w:pStyle w:val="PatentH1"/>
        <w:widowControl/>
        <w:spacing w:line="247" w:lineRule="auto" w:after="60"/>
      </w:pPr>
      <w:r>
        <w:t>COMPONENTS USED</w:t>
      </w:r>
    </w:p>
    <w:tbl>
      <w:tblPr>
        <w:tblStyle w:val="TableGrid"/>
        <w:tblW w:type="auto" w:w="0"/>
        <w:jc w:val="center"/>
        <w:tblLayout w:type="autofit"/>
        <w:tblLook w:firstColumn="1" w:firstRow="1" w:lastColumn="0" w:lastRow="0" w:noHBand="0" w:noVBand="1" w:val="04A0"/>
      </w:tblPr>
      <w:tblGrid>
        <w:gridCol w:w="3154"/>
        <w:gridCol w:w="3154"/>
        <w:gridCol w:w="3154"/>
      </w:tblGrid>
      <w:tr>
        <w:tc>
          <w:tcPr>
            <w:tcW w:type="dxa" w:w="3154"/>
            <w:vAlign w:val="center"/>
            <w:tcMar>
              <w:top w:w="70" w:type="dxa"/>
              <w:start w:w="80" w:type="dxa"/>
              <w:bottom w:w="70" w:type="dxa"/>
              <w:end w:w="80" w:type="dxa"/>
            </w:tcMar>
            <w:shd w:fill="D9D9D9"/>
          </w:tcPr>
          <w:p>
            <w:pPr>
              <w:spacing w:after="20" w:line="240" w:lineRule="auto"/>
            </w:pPr>
            <w:r>
              <w:rPr>
                <w:rFonts w:ascii="Times New Roman" w:hAnsi="Times New Roman"/>
                <w:b/>
                <w:sz w:val="18"/>
              </w:rPr>
              <w:t>Component</w:t>
            </w:r>
          </w:p>
        </w:tc>
        <w:tc>
          <w:tcPr>
            <w:tcW w:type="dxa" w:w="3154"/>
            <w:vAlign w:val="center"/>
            <w:tcMar>
              <w:top w:w="70" w:type="dxa"/>
              <w:start w:w="80" w:type="dxa"/>
              <w:bottom w:w="70" w:type="dxa"/>
              <w:end w:w="80" w:type="dxa"/>
            </w:tcMar>
            <w:shd w:fill="D9D9D9"/>
          </w:tcPr>
          <w:p>
            <w:pPr>
              <w:spacing w:after="20" w:line="240" w:lineRule="auto"/>
            </w:pPr>
            <w:r>
              <w:rPr>
                <w:rFonts w:ascii="Times New Roman" w:hAnsi="Times New Roman"/>
                <w:b/>
                <w:sz w:val="18"/>
              </w:rPr>
              <w:t>Primary Function</w:t>
            </w:r>
          </w:p>
        </w:tc>
        <w:tc>
          <w:tcPr>
            <w:tcW w:type="dxa" w:w="3154"/>
            <w:vAlign w:val="center"/>
            <w:tcMar>
              <w:top w:w="70" w:type="dxa"/>
              <w:start w:w="80" w:type="dxa"/>
              <w:bottom w:w="70" w:type="dxa"/>
              <w:end w:w="80" w:type="dxa"/>
            </w:tcMar>
            <w:shd w:fill="D9D9D9"/>
          </w:tcPr>
          <w:p>
            <w:pPr>
              <w:spacing w:after="20" w:line="240" w:lineRule="auto"/>
            </w:pPr>
            <w:r>
              <w:rPr>
                <w:rFonts w:ascii="Times New Roman" w:hAnsi="Times New Roman"/>
                <w:b/>
                <w:sz w:val="18"/>
              </w:rPr>
              <w:t>Representative Technology / Interface</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Citizen Interface</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Voice, text, multilingual and responsive service access.</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React / Next.js, Tailwind CSS</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Multilingual AI / NLP Engine</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Speech-to-text, translation, conversational interaction and language switching.</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Bhashini API, IndicTrans2, IndicWhisper / Whisper</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Unified Citizen Profile</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Stores permitted master attributes and federated identifiers.</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PostgreSQL</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Life-Event Service Discovery Engine</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Maps citizen goals to service bundles and dependencies.</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Service metadata + DAG / workflow definitions</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Eligibility Engine</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Evaluates configured eligibility and prerequisite rules.</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Rule configuration / custom engine</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Document Vault</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Maintains document references, verification states and credential metadata.</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PostgreSQL + Redis</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Consent Manager</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Controls purpose-specific, attribute-specific and time-bound authorization.</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Consent token / audit state</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Integration Hub</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Provides normalized upstream service contracts.</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Node.js NestJS or Go Fiber</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Connector / Adapter Mesh</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Integrates department-specific APIs and legacy interfaces.</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REST, GraphQL, SOAP/XML, DB, Kafka/RabbitMQ</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Orchestration Engine</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Maintains long-running workflow state and dependency transitions.</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Temporal.io / Camunda / Custom DAG Runner</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Journey Tracker</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Presents a single cross-department journey timeline.</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Web application + workflow state</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SLA Monitor</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Tracks service commitments and delayed dependencies.</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Rules + notification service</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Security Layer</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Encryption, secure transport and controlled access.</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AES-256 GCM, SHA-256, mTLS</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Audit / Operations</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Maintains traceability and administrative visibility.</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Audit log + admin dashboard</w:t>
            </w:r>
          </w:p>
        </w:tc>
      </w:tr>
    </w:tbl>
    <w:p>
      <w:pPr>
        <w:pStyle w:val="PatentH1"/>
        <w:widowControl/>
        <w:spacing w:line="247" w:lineRule="auto" w:after="60"/>
      </w:pPr>
      <w:r>
        <w:t>DATA MODELS</w:t>
      </w:r>
    </w:p>
    <w:p>
      <w:pPr>
        <w:pStyle w:val="PatentH2"/>
        <w:widowControl/>
        <w:spacing w:line="247" w:lineRule="auto" w:after="60"/>
      </w:pPr>
      <w:r>
        <w:t>Unified Citizen Profile</w:t>
      </w:r>
    </w:p>
    <w:tbl>
      <w:tblPr>
        <w:tblStyle w:val="TableGrid"/>
        <w:tblW w:type="auto" w:w="0"/>
        <w:jc w:val="center"/>
        <w:tblLayout w:type="autofit"/>
        <w:tblLook w:firstColumn="1" w:firstRow="1" w:lastColumn="0" w:lastRow="0" w:noHBand="0" w:noVBand="1" w:val="04A0"/>
      </w:tblPr>
      <w:tblGrid>
        <w:gridCol w:w="4730"/>
        <w:gridCol w:w="4730"/>
      </w:tblGrid>
      <w:tr>
        <w:tc>
          <w:tcPr>
            <w:tcW w:type="dxa" w:w="4730"/>
            <w:vAlign w:val="center"/>
            <w:tcMar>
              <w:top w:w="70" w:type="dxa"/>
              <w:start w:w="80" w:type="dxa"/>
              <w:bottom w:w="70" w:type="dxa"/>
              <w:end w:w="80" w:type="dxa"/>
            </w:tcMar>
            <w:shd w:fill="D9D9D9"/>
          </w:tcPr>
          <w:p>
            <w:pPr>
              <w:spacing w:after="20" w:line="240" w:lineRule="auto"/>
            </w:pPr>
            <w:r>
              <w:rPr>
                <w:rFonts w:ascii="Times New Roman" w:hAnsi="Times New Roman"/>
                <w:b/>
                <w:sz w:val="18"/>
              </w:rPr>
              <w:t>Field</w:t>
            </w:r>
          </w:p>
        </w:tc>
        <w:tc>
          <w:tcPr>
            <w:tcW w:type="dxa" w:w="4730"/>
            <w:vAlign w:val="center"/>
            <w:tcMar>
              <w:top w:w="70" w:type="dxa"/>
              <w:start w:w="80" w:type="dxa"/>
              <w:bottom w:w="70" w:type="dxa"/>
              <w:end w:w="80" w:type="dxa"/>
            </w:tcMar>
            <w:shd w:fill="D9D9D9"/>
          </w:tcPr>
          <w:p>
            <w:pPr>
              <w:spacing w:after="20" w:line="240" w:lineRule="auto"/>
            </w:pPr>
            <w:r>
              <w:rPr>
                <w:rFonts w:ascii="Times New Roman" w:hAnsi="Times New Roman"/>
                <w:b/>
                <w:sz w:val="18"/>
              </w:rPr>
              <w:t>Description</w:t>
            </w:r>
          </w:p>
        </w:tc>
      </w:tr>
      <w:tr>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citizen_id</w:t>
            </w:r>
          </w:p>
        </w:tc>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Unique citizen identifier.</w:t>
            </w:r>
          </w:p>
        </w:tc>
      </w:tr>
      <w:tr>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federated_ids</w:t>
            </w:r>
          </w:p>
        </w:tc>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Permitted identifiers such as Aadhaar hash, Jan Parichay ID and ration-card number.</w:t>
            </w:r>
          </w:p>
        </w:tc>
      </w:tr>
      <w:tr>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demographics</w:t>
            </w:r>
          </w:p>
        </w:tc>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Name, date of birth, gender and permanent address.</w:t>
            </w:r>
          </w:p>
        </w:tc>
      </w:tr>
      <w:tr>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vault_credentials</w:t>
            </w:r>
          </w:p>
        </w:tc>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Credential type, issuer, certificate number, validity, verification status and digital signature hash.</w:t>
            </w:r>
          </w:p>
        </w:tc>
      </w:tr>
    </w:tbl>
    <w:p>
      <w:pPr>
        <w:pStyle w:val="PatentH2"/>
        <w:widowControl/>
        <w:spacing w:line="247" w:lineRule="auto" w:after="60"/>
      </w:pPr>
      <w:r>
        <w:t>Cross-Departmental Consent Token</w:t>
      </w:r>
    </w:p>
    <w:tbl>
      <w:tblPr>
        <w:tblStyle w:val="TableGrid"/>
        <w:tblW w:type="auto" w:w="0"/>
        <w:jc w:val="center"/>
        <w:tblLayout w:type="autofit"/>
        <w:tblLook w:firstColumn="1" w:firstRow="1" w:lastColumn="0" w:lastRow="0" w:noHBand="0" w:noVBand="1" w:val="04A0"/>
      </w:tblPr>
      <w:tblGrid>
        <w:gridCol w:w="4730"/>
        <w:gridCol w:w="4730"/>
      </w:tblGrid>
      <w:tr>
        <w:tc>
          <w:tcPr>
            <w:tcW w:type="dxa" w:w="4730"/>
            <w:vAlign w:val="center"/>
            <w:tcMar>
              <w:top w:w="70" w:type="dxa"/>
              <w:start w:w="80" w:type="dxa"/>
              <w:bottom w:w="70" w:type="dxa"/>
              <w:end w:w="80" w:type="dxa"/>
            </w:tcMar>
            <w:shd w:fill="D9D9D9"/>
          </w:tcPr>
          <w:p>
            <w:pPr>
              <w:spacing w:after="20" w:line="240" w:lineRule="auto"/>
            </w:pPr>
            <w:r>
              <w:rPr>
                <w:rFonts w:ascii="Times New Roman" w:hAnsi="Times New Roman"/>
                <w:b/>
                <w:sz w:val="18"/>
              </w:rPr>
              <w:t>Field</w:t>
            </w:r>
          </w:p>
        </w:tc>
        <w:tc>
          <w:tcPr>
            <w:tcW w:type="dxa" w:w="4730"/>
            <w:vAlign w:val="center"/>
            <w:tcMar>
              <w:top w:w="70" w:type="dxa"/>
              <w:start w:w="80" w:type="dxa"/>
              <w:bottom w:w="70" w:type="dxa"/>
              <w:end w:w="80" w:type="dxa"/>
            </w:tcMar>
            <w:shd w:fill="D9D9D9"/>
          </w:tcPr>
          <w:p>
            <w:pPr>
              <w:spacing w:after="20" w:line="240" w:lineRule="auto"/>
            </w:pPr>
            <w:r>
              <w:rPr>
                <w:rFonts w:ascii="Times New Roman" w:hAnsi="Times New Roman"/>
                <w:b/>
                <w:sz w:val="18"/>
              </w:rPr>
              <w:t>Description</w:t>
            </w:r>
          </w:p>
        </w:tc>
      </w:tr>
      <w:tr>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consent_id</w:t>
            </w:r>
          </w:p>
        </w:tc>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Unique consent record.</w:t>
            </w:r>
          </w:p>
        </w:tc>
      </w:tr>
      <w:tr>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citizen_id</w:t>
            </w:r>
          </w:p>
        </w:tc>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Citizen associated with authorization.</w:t>
            </w:r>
          </w:p>
        </w:tc>
      </w:tr>
      <w:tr>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requesting_department</w:t>
            </w:r>
          </w:p>
        </w:tc>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Department requesting information.</w:t>
            </w:r>
          </w:p>
        </w:tc>
      </w:tr>
      <w:tr>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providing_department</w:t>
            </w:r>
          </w:p>
        </w:tc>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Department providing information.</w:t>
            </w:r>
          </w:p>
        </w:tc>
      </w:tr>
      <w:tr>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purpose</w:t>
            </w:r>
          </w:p>
        </w:tc>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Specific purpose of the request.</w:t>
            </w:r>
          </w:p>
        </w:tc>
      </w:tr>
      <w:tr>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attributes_disclosed</w:t>
            </w:r>
          </w:p>
        </w:tc>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Only attributes authorized by the citizen.</w:t>
            </w:r>
          </w:p>
        </w:tc>
      </w:tr>
      <w:tr>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authorized_at / expires_at</w:t>
            </w:r>
          </w:p>
        </w:tc>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Consent validity window.</w:t>
            </w:r>
          </w:p>
        </w:tc>
      </w:tr>
      <w:tr>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status</w:t>
            </w:r>
          </w:p>
        </w:tc>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Consent state such as GRANTED or REVOKED.</w:t>
            </w:r>
          </w:p>
        </w:tc>
      </w:tr>
    </w:tbl>
    <w:p>
      <w:pPr>
        <w:pStyle w:val="PatentH1"/>
        <w:widowControl/>
        <w:spacing w:line="247" w:lineRule="auto" w:after="60"/>
      </w:pPr>
      <w:r>
        <w:t>ARCHITECTURAL PILLARS</w:t>
      </w:r>
    </w:p>
    <w:tbl>
      <w:tblPr>
        <w:tblStyle w:val="TableGrid"/>
        <w:tblW w:type="auto" w:w="0"/>
        <w:jc w:val="center"/>
        <w:tblLayout w:type="autofit"/>
        <w:tblLook w:firstColumn="1" w:firstRow="1" w:lastColumn="0" w:lastRow="0" w:noHBand="0" w:noVBand="1" w:val="04A0"/>
      </w:tblPr>
      <w:tblGrid>
        <w:gridCol w:w="4730"/>
        <w:gridCol w:w="4730"/>
      </w:tblGrid>
      <w:tr>
        <w:tc>
          <w:tcPr>
            <w:tcW w:type="dxa" w:w="4730"/>
            <w:vAlign w:val="center"/>
            <w:tcMar>
              <w:top w:w="70" w:type="dxa"/>
              <w:start w:w="80" w:type="dxa"/>
              <w:bottom w:w="70" w:type="dxa"/>
              <w:end w:w="80" w:type="dxa"/>
            </w:tcMar>
            <w:shd w:fill="D9D9D9"/>
          </w:tcPr>
          <w:p>
            <w:pPr>
              <w:spacing w:after="20" w:line="240" w:lineRule="auto"/>
            </w:pPr>
            <w:r>
              <w:rPr>
                <w:rFonts w:ascii="Times New Roman" w:hAnsi="Times New Roman"/>
                <w:b/>
                <w:sz w:val="18"/>
              </w:rPr>
              <w:t>Pillar</w:t>
            </w:r>
          </w:p>
        </w:tc>
        <w:tc>
          <w:tcPr>
            <w:tcW w:type="dxa" w:w="4730"/>
            <w:vAlign w:val="center"/>
            <w:tcMar>
              <w:top w:w="70" w:type="dxa"/>
              <w:start w:w="80" w:type="dxa"/>
              <w:bottom w:w="70" w:type="dxa"/>
              <w:end w:w="80" w:type="dxa"/>
            </w:tcMar>
            <w:shd w:fill="D9D9D9"/>
          </w:tcPr>
          <w:p>
            <w:pPr>
              <w:spacing w:after="20" w:line="240" w:lineRule="auto"/>
            </w:pPr>
            <w:r>
              <w:rPr>
                <w:rFonts w:ascii="Times New Roman" w:hAnsi="Times New Roman"/>
                <w:b/>
                <w:sz w:val="18"/>
              </w:rPr>
              <w:t>Description</w:t>
            </w:r>
          </w:p>
        </w:tc>
      </w:tr>
      <w:tr>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1. Multilingual &amp; Multi-Modal Accessibility Engine</w:t>
            </w:r>
          </w:p>
        </w:tc>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Vernacular-first interaction, voice and conversational input, and dynamic language switching.</w:t>
            </w:r>
          </w:p>
        </w:tc>
      </w:tr>
      <w:tr>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2. Life-Event Service Discovery Engine</w:t>
            </w:r>
          </w:p>
        </w:tc>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Composable service bundles, prerequisite identification and dependency-aware workflows.</w:t>
            </w:r>
          </w:p>
        </w:tc>
      </w:tr>
      <w:tr>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3. Federated Identity &amp; MDM</w:t>
            </w:r>
          </w:p>
        </w:tc>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Unified profile and federated identity integration while respecting data boundaries.</w:t>
            </w:r>
          </w:p>
        </w:tc>
      </w:tr>
      <w:tr>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4. Non-Invasive Adapter &amp; Connector Mesh</w:t>
            </w:r>
          </w:p>
        </w:tc>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Normalized service contracts with configurable connectors for legacy systems.</w:t>
            </w:r>
          </w:p>
        </w:tc>
      </w:tr>
      <w:tr>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5. Consent-Driven Document Vault &amp; Verification Fabric</w:t>
            </w:r>
          </w:p>
        </w:tc>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Purpose-specific, time-bound sharing of verified records with verification and audit controls.</w:t>
            </w:r>
          </w:p>
        </w:tc>
      </w:tr>
      <w:tr>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6. Unified Journey Orchestrator &amp; SLA Monitor</w:t>
            </w:r>
          </w:p>
        </w:tc>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Cross-department workflow state, dependency handling, milestones and service-level visibility.</w:t>
            </w:r>
          </w:p>
        </w:tc>
      </w:tr>
    </w:tbl>
    <w:p>
      <w:pPr>
        <w:pStyle w:val="PatentH1"/>
        <w:widowControl/>
        <w:spacing w:line="247" w:lineRule="auto" w:after="60"/>
      </w:pPr>
      <w:r>
        <w:t>TECHNOLOGY STACK</w:t>
      </w:r>
    </w:p>
    <w:tbl>
      <w:tblPr>
        <w:tblStyle w:val="TableGrid"/>
        <w:tblW w:type="auto" w:w="0"/>
        <w:jc w:val="center"/>
        <w:tblLayout w:type="autofit"/>
        <w:tblLook w:firstColumn="1" w:firstRow="1" w:lastColumn="0" w:lastRow="0" w:noHBand="0" w:noVBand="1" w:val="04A0"/>
      </w:tblPr>
      <w:tblGrid>
        <w:gridCol w:w="3154"/>
        <w:gridCol w:w="3154"/>
        <w:gridCol w:w="3154"/>
      </w:tblGrid>
      <w:tr>
        <w:tc>
          <w:tcPr>
            <w:tcW w:type="dxa" w:w="3154"/>
            <w:vAlign w:val="center"/>
            <w:tcMar>
              <w:top w:w="70" w:type="dxa"/>
              <w:start w:w="80" w:type="dxa"/>
              <w:bottom w:w="70" w:type="dxa"/>
              <w:end w:w="80" w:type="dxa"/>
            </w:tcMar>
            <w:shd w:fill="D9D9D9"/>
          </w:tcPr>
          <w:p>
            <w:pPr>
              <w:spacing w:after="20" w:line="240" w:lineRule="auto"/>
            </w:pPr>
            <w:r>
              <w:rPr>
                <w:rFonts w:ascii="Times New Roman" w:hAnsi="Times New Roman"/>
                <w:b/>
                <w:sz w:val="18"/>
              </w:rPr>
              <w:t>Layer</w:t>
            </w:r>
          </w:p>
        </w:tc>
        <w:tc>
          <w:tcPr>
            <w:tcW w:type="dxa" w:w="3154"/>
            <w:vAlign w:val="center"/>
            <w:tcMar>
              <w:top w:w="70" w:type="dxa"/>
              <w:start w:w="80" w:type="dxa"/>
              <w:bottom w:w="70" w:type="dxa"/>
              <w:end w:w="80" w:type="dxa"/>
            </w:tcMar>
            <w:shd w:fill="D9D9D9"/>
          </w:tcPr>
          <w:p>
            <w:pPr>
              <w:spacing w:after="20" w:line="240" w:lineRule="auto"/>
            </w:pPr>
            <w:r>
              <w:rPr>
                <w:rFonts w:ascii="Times New Roman" w:hAnsi="Times New Roman"/>
                <w:b/>
                <w:sz w:val="18"/>
              </w:rPr>
              <w:t>Technology</w:t>
            </w:r>
          </w:p>
        </w:tc>
        <w:tc>
          <w:tcPr>
            <w:tcW w:type="dxa" w:w="3154"/>
            <w:vAlign w:val="center"/>
            <w:tcMar>
              <w:top w:w="70" w:type="dxa"/>
              <w:start w:w="80" w:type="dxa"/>
              <w:bottom w:w="70" w:type="dxa"/>
              <w:end w:w="80" w:type="dxa"/>
            </w:tcMar>
            <w:shd w:fill="D9D9D9"/>
          </w:tcPr>
          <w:p>
            <w:pPr>
              <w:spacing w:after="20" w:line="240" w:lineRule="auto"/>
            </w:pPr>
            <w:r>
              <w:rPr>
                <w:rFonts w:ascii="Times New Roman" w:hAnsi="Times New Roman"/>
                <w:b/>
                <w:sz w:val="18"/>
              </w:rPr>
              <w:t>Purpose</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Presentation</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React / Next.js + Tailwind CSS</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Responsive citizen-facing interface.</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Language / NLP</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Bhashini / IndicTrans2 / Whisper</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Translation and voice interaction.</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API / Middleware</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Node.js NestJS or Go Fiber</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Routing, token validation and rate limiting.</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Orchestration</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Temporal.io / Camunda / Custom DAG Runner</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Long-running workflow state management.</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Persistence</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PostgreSQL + Redis</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Transactions, audit data and low-latency profile caching.</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Security</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AES-256 GCM, SHA-256, mTLS</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Encryption, hashing and secure communication.</w:t>
            </w:r>
          </w:p>
        </w:tc>
      </w:tr>
      <w:tr>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Legacy Adapters</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Python / Express Mock Daemons</w:t>
            </w:r>
          </w:p>
        </w:tc>
        <w:tc>
          <w:tcPr>
            <w:tcW w:type="dxa" w:w="3154"/>
            <w:vAlign w:val="center"/>
            <w:tcMar>
              <w:top w:w="70" w:type="dxa"/>
              <w:start w:w="80" w:type="dxa"/>
              <w:bottom w:w="70" w:type="dxa"/>
              <w:end w:w="80" w:type="dxa"/>
            </w:tcMar>
          </w:tcPr>
          <w:p>
            <w:pPr>
              <w:spacing w:after="20" w:line="240" w:lineRule="auto"/>
            </w:pPr>
            <w:r>
              <w:rPr>
                <w:rFonts w:ascii="Times New Roman" w:hAnsi="Times New Roman"/>
                <w:sz w:val="18"/>
              </w:rPr>
              <w:t>Demonstration and integration of SOAP/REST style departmental endpoints.</w:t>
            </w:r>
          </w:p>
        </w:tc>
      </w:tr>
    </w:tbl>
    <w:p>
      <w:pPr>
        <w:pStyle w:val="PatentH1"/>
        <w:widowControl/>
        <w:spacing w:line="247" w:lineRule="auto" w:after="60"/>
      </w:pPr>
      <w:r>
        <w:t>SECURITY, PRIVACY AND DATA CONTROL</w:t>
      </w:r>
    </w:p>
    <w:p>
      <w:pPr>
        <w:pStyle w:val="ListBullet"/>
        <w:widowControl/>
        <w:spacing w:after="60" w:line="247" w:lineRule="auto"/>
      </w:pPr>
      <w:r>
        <w:t>Explicit, granular and time-bound consent is required for controlled cross-departmental sharing.</w:t>
      </w:r>
    </w:p>
    <w:p>
      <w:pPr>
        <w:pStyle w:val="ListBullet"/>
        <w:widowControl/>
        <w:spacing w:after="60" w:line="247" w:lineRule="auto"/>
      </w:pPr>
      <w:r>
        <w:t>Citizen attributes are disclosed according to the authorized purpose and requested attribute set.</w:t>
      </w:r>
    </w:p>
    <w:p>
      <w:pPr>
        <w:pStyle w:val="ListBullet"/>
        <w:widowControl/>
        <w:spacing w:after="60" w:line="247" w:lineRule="auto"/>
      </w:pPr>
      <w:r>
        <w:t>Cryptographic hashes and verification metadata can be used to identify and validate previously verified records.</w:t>
      </w:r>
    </w:p>
    <w:p>
      <w:pPr>
        <w:pStyle w:val="ListBullet"/>
        <w:widowControl/>
        <w:spacing w:after="60" w:line="247" w:lineRule="auto"/>
      </w:pPr>
      <w:r>
        <w:t>Audit records maintain traceability of consent and exchange events.</w:t>
      </w:r>
    </w:p>
    <w:p>
      <w:pPr>
        <w:pStyle w:val="ListBullet"/>
        <w:widowControl/>
        <w:spacing w:after="60" w:line="247" w:lineRule="auto"/>
      </w:pPr>
      <w:r>
        <w:t>Encryption mechanisms identified in the source include AES-256 GCM, SHA-256 and mTLS.</w:t>
      </w:r>
    </w:p>
    <w:p>
      <w:pPr>
        <w:pStyle w:val="ListBullet"/>
        <w:widowControl/>
        <w:spacing w:after="60" w:line="247" w:lineRule="auto"/>
      </w:pPr>
      <w:r>
        <w:t>The prototype uses mock connectors where production government API access is not available; the architecture does not assume unauthorized access to government systems.</w:t>
      </w:r>
    </w:p>
    <w:p>
      <w:pPr>
        <w:pStyle w:val="PatentH1"/>
        <w:widowControl/>
        <w:spacing w:line="247" w:lineRule="auto" w:after="60"/>
      </w:pPr>
      <w:r>
        <w:t>EVALUATION CRITERIA AND DEMONSTRABLE IMPACT</w:t>
      </w:r>
    </w:p>
    <w:tbl>
      <w:tblPr>
        <w:tblStyle w:val="TableGrid"/>
        <w:tblW w:type="auto" w:w="0"/>
        <w:jc w:val="center"/>
        <w:tblLayout w:type="autofit"/>
        <w:tblLook w:firstColumn="1" w:firstRow="1" w:lastColumn="0" w:lastRow="0" w:noHBand="0" w:noVBand="1" w:val="04A0"/>
      </w:tblPr>
      <w:tblGrid>
        <w:gridCol w:w="4730"/>
        <w:gridCol w:w="4730"/>
      </w:tblGrid>
      <w:tr>
        <w:tc>
          <w:tcPr>
            <w:tcW w:type="dxa" w:w="4730"/>
            <w:vAlign w:val="center"/>
            <w:tcMar>
              <w:top w:w="70" w:type="dxa"/>
              <w:start w:w="80" w:type="dxa"/>
              <w:bottom w:w="70" w:type="dxa"/>
              <w:end w:w="80" w:type="dxa"/>
            </w:tcMar>
            <w:shd w:fill="D9D9D9"/>
          </w:tcPr>
          <w:p>
            <w:pPr>
              <w:spacing w:after="20" w:line="240" w:lineRule="auto"/>
            </w:pPr>
            <w:r>
              <w:rPr>
                <w:rFonts w:ascii="Times New Roman" w:hAnsi="Times New Roman"/>
                <w:b/>
                <w:sz w:val="18"/>
              </w:rPr>
              <w:t>Criterion</w:t>
            </w:r>
          </w:p>
        </w:tc>
        <w:tc>
          <w:tcPr>
            <w:tcW w:type="dxa" w:w="4730"/>
            <w:vAlign w:val="center"/>
            <w:tcMar>
              <w:top w:w="70" w:type="dxa"/>
              <w:start w:w="80" w:type="dxa"/>
              <w:bottom w:w="70" w:type="dxa"/>
              <w:end w:w="80" w:type="dxa"/>
            </w:tcMar>
            <w:shd w:fill="D9D9D9"/>
          </w:tcPr>
          <w:p>
            <w:pPr>
              <w:spacing w:after="20" w:line="240" w:lineRule="auto"/>
            </w:pPr>
            <w:r>
              <w:rPr>
                <w:rFonts w:ascii="Times New Roman" w:hAnsi="Times New Roman"/>
                <w:b/>
                <w:sz w:val="18"/>
              </w:rPr>
              <w:t>Demonstrable Behaviour</w:t>
            </w:r>
          </w:p>
        </w:tc>
      </w:tr>
      <w:tr>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Reduced submission overhead</w:t>
            </w:r>
          </w:p>
        </w:tc>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Verified attributes and documents can be reused with consent rather than repeatedly re-entered.</w:t>
            </w:r>
          </w:p>
        </w:tc>
      </w:tr>
      <w:tr>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Vernacular usability</w:t>
            </w:r>
          </w:p>
        </w:tc>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Citizen can interact using regional-language text or audio prompts.</w:t>
            </w:r>
          </w:p>
        </w:tc>
      </w:tr>
      <w:tr>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Federated orchestration</w:t>
            </w:r>
          </w:p>
        </w:tc>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Cross-department dependencies are represented and processed without repeated manual entry.</w:t>
            </w:r>
          </w:p>
        </w:tc>
      </w:tr>
      <w:tr>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Privacy assurance</w:t>
            </w:r>
          </w:p>
        </w:tc>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Cross-department data exchange is controlled by explicit consent and recorded authorization state.</w:t>
            </w:r>
          </w:p>
        </w:tc>
      </w:tr>
      <w:tr>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Operational visibility</w:t>
            </w:r>
          </w:p>
        </w:tc>
        <w:tc>
          <w:tcPr>
            <w:tcW w:type="dxa" w:w="4730"/>
            <w:vAlign w:val="center"/>
            <w:tcMar>
              <w:top w:w="70" w:type="dxa"/>
              <w:start w:w="80" w:type="dxa"/>
              <w:bottom w:w="70" w:type="dxa"/>
              <w:end w:w="80" w:type="dxa"/>
            </w:tcMar>
          </w:tcPr>
          <w:p>
            <w:pPr>
              <w:spacing w:after="20" w:line="240" w:lineRule="auto"/>
            </w:pPr>
            <w:r>
              <w:rPr>
                <w:rFonts w:ascii="Times New Roman" w:hAnsi="Times New Roman"/>
                <w:sz w:val="18"/>
              </w:rPr>
              <w:t>The journey tracker exposes milestones, pending dependencies and service-level status.</w:t>
            </w:r>
          </w:p>
        </w:tc>
      </w:tr>
    </w:tbl>
    <w:p>
      <w:pPr>
        <w:pStyle w:val="PatentH1"/>
        <w:widowControl/>
        <w:spacing w:line="247" w:lineRule="auto" w:after="60"/>
      </w:pPr>
      <w:r>
        <w:t>ADVANTAGES</w:t>
      </w:r>
    </w:p>
    <w:p>
      <w:pPr>
        <w:pStyle w:val="ListBullet"/>
        <w:widowControl/>
        <w:spacing w:after="60" w:line="247" w:lineRule="auto"/>
      </w:pPr>
      <w:r>
        <w:t>Provides a single citizen-centric entry point over otherwise fragmented departmental services.</w:t>
      </w:r>
    </w:p>
    <w:p>
      <w:pPr>
        <w:pStyle w:val="ListBullet"/>
        <w:widowControl/>
        <w:spacing w:after="60" w:line="247" w:lineRule="auto"/>
      </w:pPr>
      <w:r>
        <w:t>Reduces repeated submission of information and documents where verified records can be reused with consent.</w:t>
      </w:r>
    </w:p>
    <w:p>
      <w:pPr>
        <w:pStyle w:val="ListBullet"/>
        <w:widowControl/>
        <w:spacing w:after="60" w:line="247" w:lineRule="auto"/>
      </w:pPr>
      <w:r>
        <w:t>Supports life-event based service discovery instead of requiring citizens to understand departmental hierarchies.</w:t>
      </w:r>
    </w:p>
    <w:p>
      <w:pPr>
        <w:pStyle w:val="ListBullet"/>
        <w:widowControl/>
        <w:spacing w:after="60" w:line="247" w:lineRule="auto"/>
      </w:pPr>
      <w:r>
        <w:t>Provides multilingual and conversational interaction for users who may find formal administrative terminology difficult.</w:t>
      </w:r>
    </w:p>
    <w:p>
      <w:pPr>
        <w:pStyle w:val="ListBullet"/>
        <w:widowControl/>
        <w:spacing w:after="60" w:line="247" w:lineRule="auto"/>
      </w:pPr>
      <w:r>
        <w:t>Coordinates prerequisite services and allows dependent workflows to remain active while an upstream service is being processed.</w:t>
      </w:r>
    </w:p>
    <w:p>
      <w:pPr>
        <w:pStyle w:val="ListBullet"/>
        <w:widowControl/>
        <w:spacing w:after="60" w:line="247" w:lineRule="auto"/>
      </w:pPr>
      <w:r>
        <w:t>Supports integration with legacy systems without requiring complete replacement of existing departmental applications.</w:t>
      </w:r>
    </w:p>
    <w:p>
      <w:pPr>
        <w:pStyle w:val="ListBullet"/>
        <w:widowControl/>
        <w:spacing w:after="60" w:line="247" w:lineRule="auto"/>
      </w:pPr>
      <w:r>
        <w:t>Improves administrative visibility through unified journey tracking and SLA monitoring.</w:t>
      </w:r>
    </w:p>
    <w:p>
      <w:pPr>
        <w:pStyle w:val="ListBullet"/>
        <w:widowControl/>
        <w:spacing w:after="60" w:line="247" w:lineRule="auto"/>
      </w:pPr>
      <w:r>
        <w:t>Provides a structured approach to consent, verification, auditability and controlled cross-departmental data exchange.</w:t>
      </w:r>
    </w:p>
    <w:p>
      <w:pPr>
        <w:pStyle w:val="PatentH1"/>
        <w:widowControl/>
        <w:spacing w:line="247" w:lineRule="auto" w:after="60"/>
      </w:pPr>
      <w:r>
        <w:t>DISADVANTAGES AND IMPLEMENTATION CHALLENGES</w:t>
      </w:r>
    </w:p>
    <w:p>
      <w:pPr>
        <w:pStyle w:val="ListBullet"/>
        <w:widowControl/>
        <w:spacing w:after="60" w:line="247" w:lineRule="auto"/>
      </w:pPr>
      <w:r>
        <w:t>Integration with legacy departmental systems can vary considerably because of differences in APIs, data formats, identifiers and authentication mechanisms.</w:t>
      </w:r>
    </w:p>
    <w:p>
      <w:pPr>
        <w:pStyle w:val="ListBullet"/>
        <w:widowControl/>
        <w:spacing w:after="60" w:line="247" w:lineRule="auto"/>
      </w:pPr>
      <w:r>
        <w:t>The platform requires careful design of consent, identity matching and privacy controls when information is exchanged between departments.</w:t>
      </w:r>
    </w:p>
    <w:p>
      <w:pPr>
        <w:pStyle w:val="ListBullet"/>
        <w:widowControl/>
        <w:spacing w:after="60" w:line="247" w:lineRule="auto"/>
      </w:pPr>
      <w:r>
        <w:t>Long-running workflows depend on the availability and responsiveness of connected departmental services.</w:t>
      </w:r>
    </w:p>
    <w:p>
      <w:pPr>
        <w:pStyle w:val="ListBullet"/>
        <w:widowControl/>
        <w:spacing w:after="60" w:line="247" w:lineRule="auto"/>
      </w:pPr>
      <w:r>
        <w:t>Multilingual voice and conversational interaction may require continued refinement for regional variations, accents and administrative terminology.</w:t>
      </w:r>
    </w:p>
    <w:p>
      <w:pPr>
        <w:pStyle w:val="ListBullet"/>
        <w:widowControl/>
        <w:spacing w:after="60" w:line="247" w:lineRule="auto"/>
      </w:pPr>
      <w:r>
        <w:t>The architecture introduces additional middleware components that must be monitored, secured and maintained.</w:t>
      </w:r>
    </w:p>
    <w:p>
      <w:pPr>
        <w:pStyle w:val="ListBullet"/>
        <w:widowControl/>
        <w:spacing w:after="60" w:line="247" w:lineRule="auto"/>
      </w:pPr>
      <w:r>
        <w:t>The quality of end-to-end service delivery remains dependent on the accuracy, availability and service-level performance of participating government systems.</w:t>
      </w:r>
    </w:p>
    <w:p>
      <w:pPr>
        <w:pStyle w:val="PatentH1"/>
        <w:widowControl/>
        <w:spacing w:line="247" w:lineRule="auto" w:after="60"/>
      </w:pPr>
      <w:r>
        <w:t>SCALABILITY AND FAILURE HANDLING</w:t>
      </w:r>
    </w:p>
    <w:p>
      <w:pPr>
        <w:widowControl/>
        <w:spacing w:line="247" w:lineRule="auto" w:after="60"/>
        <w:jc w:val="both"/>
      </w:pPr>
      <w:r>
        <w:rPr>
          <w:b w:val="0"/>
          <w:i w:val="0"/>
        </w:rPr>
        <w:t>The reference architecture is intended to scale independently across services, departments, life events, rules and citizens. Adding a service can be represented through service metadata and dependency definitions; adding a department can be handled through a new connector; adding a life event can be represented through a new service dependency graph; and adding an eligibility requirement can be handled through rule configuration.</w:t>
      </w:r>
    </w:p>
    <w:p>
      <w:pPr>
        <w:widowControl/>
        <w:spacing w:line="247" w:lineRule="auto" w:after="60"/>
        <w:jc w:val="both"/>
      </w:pPr>
      <w:r>
        <w:rPr>
          <w:b w:val="0"/>
          <w:i w:val="0"/>
        </w:rPr>
        <w:t>When a service fails or is rejected, the orchestration engine can represent the state transition and propagate the dependency consequence. For example: Income Certificate → REJECTED → Scholarship → BLOCKED. The journey can then identify the prerequisite that requires attention rather than silently failing.</w:t>
      </w:r>
    </w:p>
    <w:p>
      <w:pPr>
        <w:widowControl/>
        <w:spacing w:line="247" w:lineRule="auto" w:after="60"/>
        <w:jc w:val="both"/>
      </w:pPr>
      <w:r>
        <w:rPr>
          <w:b w:val="0"/>
          <w:i w:val="0"/>
        </w:rPr>
        <w:t>When a department changes its API, the department-specific implementation is isolated inside its connector or adapter. SETU continues to communicate through the normalized contract, thereby reducing the need to redesign the orchestration and citizen interface.</w:t>
      </w:r>
    </w:p>
    <w:p>
      <w:pPr>
        <w:pStyle w:val="PatentH1"/>
        <w:widowControl/>
        <w:spacing w:line="247" w:lineRule="auto" w:after="60"/>
      </w:pPr>
      <w:r>
        <w:t>INDUSTRIAL APPLICABILITY</w:t>
      </w:r>
    </w:p>
    <w:p>
      <w:pPr>
        <w:widowControl/>
        <w:spacing w:line="247" w:lineRule="auto" w:after="60"/>
        <w:jc w:val="both"/>
      </w:pPr>
      <w:r>
        <w:rPr>
          <w:b w:val="0"/>
          <w:i w:val="0"/>
        </w:rPr>
        <w:t>The proposed architecture is applicable to government and public-service environments in which multiple departments operate independent digital systems and where citizens must complete workflows spanning more than one authority. The same orchestration pattern can be applied to higher education, scholarships, certificates, welfare benefits, business registration and other multi-service life events, subject to the availability of authorized integrations and applicable privacy requirements.</w:t>
      </w:r>
    </w:p>
    <w:p>
      <w:pPr>
        <w:pStyle w:val="PatentH1"/>
        <w:widowControl/>
        <w:spacing w:line="247" w:lineRule="auto" w:after="60"/>
      </w:pPr>
      <w:r>
        <w:t>ABSTRACT</w:t>
      </w:r>
    </w:p>
    <w:p>
      <w:pPr>
        <w:widowControl/>
        <w:spacing w:line="247" w:lineRule="auto" w:after="60"/>
        <w:jc w:val="both"/>
      </w:pPr>
      <w:r>
        <w:rPr>
          <w:b w:val="0"/>
          <w:i w:val="0"/>
        </w:rPr>
        <w:t>Project SETU relates to a middleware interoperability and federated citizen service orchestration platform designed to connect fragmented government digital systems without requiring replacement of existing departmental infrastructure. The platform combines multilingual and multi-modal citizen interaction, life-event based service discovery, unified citizen profile and federated identity, eligibility and dependency evaluation, non-invasive legacy adapters, consent-driven document sharing, and a unified journey orchestrator with SLA monitoring. SETU identifies service prerequisites, coordinates dependent workflows across departments, reuses verified citizen information subject to explicit consent and presents a unified view of application progress. The architecture supports standardized REST/GraphQL interfaces, legacy SOAP/XML integration, database connectivity and asynchronous messaging. A college-admission and scholarship workflow demonstrates how a missing or expired Income Certificate can be initiated through a Revenue connector while a dependent scholarship service remains paused and is automatically reconsidered when the prerequisite is resolved. The proposed system is intended to reduce repetitive submission, simplify service discovery, improve cross-departmental coordination and provide controlled, auditable data exchange.</w:t>
      </w:r>
    </w:p>
    <w:p>
      <w:pPr>
        <w:pStyle w:val="PatentH1"/>
        <w:widowControl/>
        <w:spacing w:line="247" w:lineRule="auto" w:after="60"/>
      </w:pPr>
      <w:r>
        <w:t>CLAIMS</w:t>
      </w:r>
    </w:p>
    <w:p>
      <w:pPr>
        <w:widowControl/>
        <w:spacing w:line="247" w:lineRule="auto" w:after="60"/>
        <w:ind w:firstLine="403"/>
      </w:pPr>
      <w:r>
        <w:t>1. A federated government service orchestration system comprising a citizen-facing multilingual interface, a middleware interoperability layer, and configurable connectors for communicating with multiple independent departmental digital systems.</w:t>
      </w:r>
    </w:p>
    <w:p>
      <w:pPr>
        <w:widowControl/>
        <w:spacing w:line="247" w:lineRule="auto" w:after="60"/>
        <w:ind w:firstLine="403"/>
      </w:pPr>
      <w:r>
        <w:t>2. The system of claim 1, wherein the citizen-facing interface accepts a service requirement as a life event or natural-language request and maps the request to one or more composable government services.</w:t>
      </w:r>
    </w:p>
    <w:p>
      <w:pPr>
        <w:widowControl/>
        <w:spacing w:line="247" w:lineRule="auto" w:after="60"/>
        <w:ind w:firstLine="403"/>
      </w:pPr>
      <w:r>
        <w:t>3. The system of claim 1, further comprising a Life-Event Service Discovery Engine configured to identify prerequisites and represent dependencies between services as a directed acyclic graph for workflow processing.</w:t>
      </w:r>
    </w:p>
    <w:p>
      <w:pPr>
        <w:widowControl/>
        <w:spacing w:line="247" w:lineRule="auto" w:after="60"/>
        <w:ind w:firstLine="403"/>
      </w:pPr>
      <w:r>
        <w:t>4. The system of claim 1, further comprising a federated identity and master data management module configured to maintain permitted citizen attributes and support integration with identity or document providers while respecting data privacy boundaries.</w:t>
      </w:r>
    </w:p>
    <w:p>
      <w:pPr>
        <w:widowControl/>
        <w:spacing w:line="247" w:lineRule="auto" w:after="60"/>
        <w:ind w:firstLine="403"/>
      </w:pPr>
      <w:r>
        <w:t>5. The system of claim 1, further comprising an eligibility engine configured to evaluate service rules using permitted profile attributes and document states before a dependent service is activated.</w:t>
      </w:r>
    </w:p>
    <w:p>
      <w:pPr>
        <w:widowControl/>
        <w:spacing w:line="247" w:lineRule="auto" w:after="60"/>
        <w:ind w:firstLine="403"/>
      </w:pPr>
      <w:r>
        <w:t>6. The system of claim 1, further comprising a consent manager and document vault configured to require explicit, granular and time-bound authorization before sharing a citizen attribute or verified document with a requesting department.</w:t>
      </w:r>
    </w:p>
    <w:p>
      <w:pPr>
        <w:widowControl/>
        <w:spacing w:line="247" w:lineRule="auto" w:after="60"/>
        <w:ind w:firstLine="403"/>
      </w:pPr>
      <w:r>
        <w:t>7. The system of claim 1, wherein the interoperability layer includes configurable adapters for REST, GraphQL, SOAP/XML, database read replicas, webhooks or message-broker based communication with legacy departmental systems.</w:t>
      </w:r>
    </w:p>
    <w:p>
      <w:pPr>
        <w:widowControl/>
        <w:spacing w:line="247" w:lineRule="auto" w:after="60"/>
        <w:ind w:firstLine="403"/>
      </w:pPr>
      <w:r>
        <w:t>8. The system of claim 1, further comprising a unified journey orchestrator configured to maintain milestone status across multiple departments and to pause dependent services when a prerequisite service is pending without requiring the citizen to restart the complete journey.</w:t>
      </w:r>
    </w:p>
    <w:p>
      <w:pPr>
        <w:widowControl/>
        <w:spacing w:line="247" w:lineRule="auto" w:after="60"/>
        <w:ind w:firstLine="403"/>
      </w:pPr>
      <w:r>
        <w:t>9. The system of claim 1, further comprising an SLA monitoring and notification mechanism configured to identify workflow delays and provide escalation or status notifications to relevant users or administrators.</w:t>
      </w:r>
    </w:p>
    <w:p>
      <w:pPr>
        <w:widowControl/>
        <w:spacing w:line="247" w:lineRule="auto" w:after="60"/>
        <w:ind w:firstLine="403"/>
      </w:pPr>
      <w:r>
        <w:t>10. The system of claim 1, wherein the multilingual interface supports English, Marathi, Hindi and extensible regional language interaction, including voice-based and conversational input.</w:t>
      </w:r>
    </w:p>
    <w:p>
      <w:pPr>
        <w:widowControl/>
        <w:spacing w:line="247" w:lineRule="auto" w:after="60"/>
        <w:ind w:firstLine="403"/>
      </w:pPr>
      <w:r>
        <w:t>11. The system of claim 1, wherein a department-specific API implementation is isolated within a connector or adapter such that an API change in the department does not require modification of the normalized orchestration contract.</w:t>
      </w:r>
    </w:p>
    <w:p>
      <w:pPr>
        <w:widowControl/>
        <w:spacing w:line="247" w:lineRule="auto" w:after="60"/>
        <w:ind w:firstLine="403"/>
      </w:pPr>
      <w:r>
        <w:t>12. The system of claim 1, wherein a change in the state of an upstream prerequisite causes the orchestration engine to reevaluate a dependency graph and update the actionable state of at least one downstream service.</w:t>
      </w:r>
    </w:p>
    <w:p>
      <w:pPr>
        <w:pStyle w:val="PatentH1"/>
        <w:widowControl/>
        <w:spacing w:line="247" w:lineRule="auto" w:after="60"/>
      </w:pPr>
      <w:r>
        <w:t>CONCLUSION</w:t>
      </w:r>
    </w:p>
    <w:p>
      <w:pPr>
        <w:widowControl/>
        <w:spacing w:line="247" w:lineRule="auto" w:after="60"/>
        <w:jc w:val="both"/>
      </w:pPr>
      <w:r>
        <w:rPr>
          <w:b w:val="0"/>
          <w:i w:val="0"/>
        </w:rPr>
        <w:t>Project SETU presents an interoperability-focused approach to government digital service delivery. Instead of replacing departmental portals and databases, the platform introduces a common orchestration layer that connects existing systems and converts fragmented services into unified citizen journeys.</w:t>
      </w:r>
    </w:p>
    <w:p>
      <w:pPr>
        <w:widowControl/>
        <w:spacing w:line="247" w:lineRule="auto" w:after="60"/>
        <w:jc w:val="both"/>
      </w:pPr>
      <w:r>
        <w:rPr>
          <w:b w:val="0"/>
          <w:i w:val="0"/>
        </w:rPr>
        <w:t>The proposed architecture combines life-event based discovery, federated identity, eligibility evaluation, consent-driven document reuse, multilingual interaction, legacy system adapters and unified workflow tracking. These elements are intended to reduce repeated citizen effort while improving visibility of cross-departmental service dependencies.</w:t>
      </w:r>
    </w:p>
    <w:p>
      <w:pPr>
        <w:widowControl/>
        <w:spacing w:line="247" w:lineRule="auto" w:after="60"/>
        <w:jc w:val="both"/>
      </w:pPr>
      <w:r>
        <w:rPr>
          <w:b w:val="0"/>
          <w:i w:val="0"/>
        </w:rPr>
        <w:t>The college-admission demonstration shows the practical orchestration principle: the citizen states a goal, SETU identifies the required services, evaluates the available profile and documents, obtains consent, initiates missing prerequisites through department-specific connectors and updates the unified journey as dependencies resolve.</w:t>
      </w:r>
    </w:p>
    <w:p>
      <w:pPr>
        <w:widowControl/>
        <w:spacing w:line="247" w:lineRule="auto" w:after="60"/>
        <w:jc w:val="both"/>
      </w:pPr>
      <w:r>
        <w:rPr>
          <w:b w:val="0"/>
          <w:i w:val="0"/>
        </w:rPr>
        <w:t>The project therefore provides a structured technical foundation for building a more connected and citizen-centric digital service environment while retaining the existing departmental systems that are responsible for individual services.</w:t>
      </w:r>
    </w:p>
    <w:p>
      <w:r>
        <w:br w:type="page"/>
      </w:r>
    </w:p>
    <w:p>
      <w:pPr>
        <w:pStyle w:val="PatentH1"/>
        <w:widowControl/>
        <w:spacing w:line="247" w:lineRule="auto" w:after="60"/>
      </w:pPr>
      <w:r>
        <w:t>NAME OF THE APPLICANT</w:t>
      </w:r>
    </w:p>
    <w:p>
      <w:pPr>
        <w:widowControl/>
        <w:spacing w:line="247" w:lineRule="auto" w:after="60"/>
        <w:jc w:val="left"/>
      </w:pPr>
      <w:r>
        <w:rPr>
          <w:b/>
          <w:i w:val="0"/>
        </w:rPr>
        <w:t>SWAMI VIVEKANANDA UNIVERSITY</w:t>
      </w:r>
    </w:p>
    <w:p>
      <w:pPr>
        <w:widowControl/>
        <w:spacing w:line="247" w:lineRule="auto" w:after="60"/>
        <w:jc w:val="both"/>
      </w:pPr>
      <w:r>
        <w:rPr>
          <w:b w:val="0"/>
          <w:i w:val="0"/>
        </w:rPr>
        <w:t>Address: Telinipara, Barasat-Barrackpore Rd, Bara Kanthalia, Kolkata, West Bengal – 700121, India</w:t>
      </w:r>
    </w:p>
    <w:p>
      <w:pPr>
        <w:pStyle w:val="PatentH1"/>
        <w:widowControl/>
        <w:spacing w:line="247" w:lineRule="auto" w:after="60"/>
      </w:pPr>
      <w:r>
        <w:t>NAME OF THE INVENTORS</w:t>
      </w:r>
    </w:p>
    <w:p>
      <w:pPr>
        <w:widowControl/>
        <w:spacing w:line="247" w:lineRule="auto" w:after="60"/>
        <w:jc w:val="left"/>
      </w:pPr>
      <w:r>
        <w:rPr>
          <w:b/>
          <w:i w:val="0"/>
        </w:rPr>
        <w:t>1. Subhalaxmi Panda</w:t>
      </w:r>
    </w:p>
    <w:p>
      <w:pPr>
        <w:widowControl/>
        <w:spacing w:line="247" w:lineRule="auto" w:after="60"/>
        <w:jc w:val="both"/>
      </w:pPr>
      <w:r>
        <w:rPr>
          <w:b w:val="0"/>
          <w:i w:val="0"/>
        </w:rPr>
        <w:t>Address: SWAMI VIVEKANANDA UNIVERSITY</w:t>
        <w:br/>
        <w:t>Telinipara, Barasat-Barrackpore Rd, Bara Kanthalia, Kolkata, West Bengal – 700121, India</w:t>
      </w:r>
    </w:p>
    <w:p>
      <w:pPr>
        <w:widowControl/>
        <w:spacing w:line="247" w:lineRule="auto" w:after="60"/>
        <w:jc w:val="left"/>
      </w:pPr>
      <w:r>
        <w:rPr>
          <w:b/>
          <w:i w:val="0"/>
        </w:rPr>
        <w:t>2. Ankush Kumar Dutta</w:t>
      </w:r>
    </w:p>
    <w:p>
      <w:pPr>
        <w:widowControl/>
        <w:spacing w:line="247" w:lineRule="auto" w:after="60"/>
        <w:jc w:val="both"/>
      </w:pPr>
      <w:r>
        <w:rPr>
          <w:b w:val="0"/>
          <w:i w:val="0"/>
        </w:rPr>
        <w:t>Address: SWAMI VIVEKANANDA UNIVERSITY</w:t>
        <w:br/>
        <w:t>Telinipara, Barasat-Barrackpore Rd, Bara Kanthalia, Kolkata, West Bengal – 700121, India</w:t>
      </w:r>
    </w:p>
    <w:p>
      <w:pPr>
        <w:widowControl/>
        <w:spacing w:line="247" w:lineRule="auto" w:after="60"/>
        <w:jc w:val="left"/>
      </w:pPr>
      <w:r>
        <w:rPr>
          <w:b/>
          <w:i w:val="0"/>
        </w:rPr>
        <w:t>3. Harsh Raj Tiwari</w:t>
      </w:r>
    </w:p>
    <w:p>
      <w:pPr>
        <w:widowControl/>
        <w:spacing w:line="247" w:lineRule="auto" w:after="60"/>
        <w:jc w:val="both"/>
      </w:pPr>
      <w:r>
        <w:rPr>
          <w:b w:val="0"/>
          <w:i w:val="0"/>
        </w:rPr>
        <w:t>Address: SWAMI VIVEKANANDA UNIVERSITY</w:t>
        <w:br/>
        <w:t>Telinipara, Barasat-Barrackpore Rd, Bara Kanthalia, Kolkata, West Bengal – 700121, India</w:t>
      </w:r>
    </w:p>
    <w:p>
      <w:pPr>
        <w:widowControl/>
        <w:spacing w:line="247" w:lineRule="auto" w:after="60"/>
        <w:jc w:val="left"/>
      </w:pPr>
      <w:r>
        <w:rPr>
          <w:b/>
          <w:i w:val="0"/>
        </w:rPr>
        <w:t>4. Dipak Jena</w:t>
      </w:r>
    </w:p>
    <w:p>
      <w:pPr>
        <w:widowControl/>
        <w:spacing w:line="247" w:lineRule="auto" w:after="60"/>
        <w:jc w:val="both"/>
      </w:pPr>
      <w:r>
        <w:rPr>
          <w:b w:val="0"/>
          <w:i w:val="0"/>
        </w:rPr>
        <w:t>Address: SWAMI VIVEKANANDA UNIVERSITY</w:t>
        <w:br/>
        <w:t>Telinipara, Barasat-Barrackpore Rd, Bara Kanthalia, Kolkata, West Bengal – 700121, India</w:t>
      </w:r>
    </w:p>
    <w:p>
      <w:pPr>
        <w:widowControl/>
        <w:spacing w:line="247" w:lineRule="auto" w:after="60"/>
        <w:jc w:val="left"/>
      </w:pPr>
      <w:r>
        <w:rPr>
          <w:b/>
          <w:i w:val="0"/>
        </w:rPr>
        <w:t>5. Muhammad Yusuf</w:t>
      </w:r>
    </w:p>
    <w:p>
      <w:pPr>
        <w:widowControl/>
        <w:spacing w:line="247" w:lineRule="auto" w:after="60"/>
        <w:jc w:val="both"/>
      </w:pPr>
      <w:r>
        <w:rPr>
          <w:b w:val="0"/>
          <w:i w:val="0"/>
        </w:rPr>
        <w:t>Address: SWAMI VIVEKANANDA UNIVERSITY</w:t>
        <w:br/>
        <w:t>Telinipara, Barasat-Barrackpore Rd, Bara Kanthalia, Kolkata, West Bengal – 700121, India</w:t>
      </w:r>
    </w:p>
    <w:p>
      <w:pPr>
        <w:widowControl/>
        <w:spacing w:line="247" w:lineRule="auto" w:after="60"/>
        <w:jc w:val="left"/>
      </w:pPr>
      <w:r>
        <w:rPr>
          <w:b/>
          <w:i w:val="0"/>
        </w:rPr>
        <w:t>6. Mainak Saha</w:t>
      </w:r>
    </w:p>
    <w:p>
      <w:pPr>
        <w:widowControl/>
        <w:spacing w:line="247" w:lineRule="auto" w:after="60"/>
        <w:jc w:val="both"/>
      </w:pPr>
      <w:r>
        <w:rPr>
          <w:b w:val="0"/>
          <w:i w:val="0"/>
        </w:rPr>
        <w:t>Address: SWAMI VIVEKANANDA UNIVERSITY</w:t>
        <w:br/>
        <w:t>Telinipara, Barasat-Barrackpore Rd, Bara Kanthalia, Kolkata, West Bengal – 700121, India</w:t>
      </w:r>
    </w:p>
    <w:sectPr w:rsidR="00FC693F" w:rsidRPr="0006063C" w:rsidSect="00034616">
      <w:headerReference w:type="default" r:id="rId9"/>
      <w:footerReference w:type="default" r:id="rId10"/>
      <w:pgSz w:w="11909" w:h="16834"/>
      <w:pgMar w:top="893"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6"/>
      </w:rPr>
      <w:t xml:space="preserve">PROJECT SETU  |  PATENT-STYLE TECHNICAL SPECIFICATION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7"/>
      </w:rPr>
      <w:t>PROJECT SETU — SYSTEMIC INTEROPERABILITY &amp; FEDERATED CITIZEN SERVICE ORCHESTRATION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6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ap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tentH1">
    <w:name w:val="PatentH1"/>
    <w:pPr>
      <w:spacing w:before="200" w:after="100"/>
    </w:pPr>
    <w:rPr>
      <w:rFonts w:ascii="Times New Roman" w:hAnsi="Times New Roman" w:eastAsia="Times New Roman"/>
      <w:b/>
      <w:sz w:val="26"/>
    </w:rPr>
  </w:style>
  <w:style w:type="paragraph" w:customStyle="1" w:styleId="PatentH2">
    <w:name w:val="PatentH2"/>
    <w:pPr>
      <w:spacing w:before="200" w:after="100"/>
    </w:pPr>
    <w:rPr>
      <w:rFonts w:ascii="Times New Roman" w:hAnsi="Times New Roman" w:eastAsia="Times New Roman"/>
      <w:b/>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