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4"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6"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1.0（即每个辖区都不跨城市，符合上海作为单一城市的天然约束）。图</w:t>
      </w:r>
      <w:r>
        <w:t xml:space="preserve"> 5-4 </w:t>
      </w:r>
      <w:r>
        <w:rPr>
          <w:rFonts w:hint="eastAsia"/>
        </w:rPr>
        <w:t xml:space="preserve">通过双面板地图展示了上海</w:t>
      </w:r>
      <w:r>
        <w:t xml:space="preserve"> 99 </w:t>
      </w:r>
      <w:r>
        <w:rPr>
          <w:rFonts w:hint="eastAsia"/>
        </w:rPr>
        <w:t xml:space="preserve">家医院在</w:t>
      </w:r>
      <w:r>
        <w:t xml:space="preserve"> As-Is </w:t>
      </w:r>
      <w:r>
        <w:rPr>
          <w:rFonts w:hint="eastAsia"/>
        </w:rPr>
        <w:t xml:space="preserve">与</w:t>
      </w:r>
      <w:r>
        <w:t xml:space="preserve"> To-Be </w:t>
      </w:r>
      <w:r>
        <w:rPr>
          <w:rFonts w:hint="eastAsia"/>
        </w:rPr>
        <w:t xml:space="preserve">下的辖区归属对比。</w:t>
      </w:r>
    </w:p>
    <w:p>
      <w:pPr>
        <w:pStyle w:val="CaptionedFigure"/>
      </w:pPr>
      <w:r>
        <w:drawing>
          <wp:inline>
            <wp:extent cx="5387278" cy="2626731"/>
            <wp:effectExtent b="0" l="0" r="0" t="0"/>
            <wp:docPr descr="图 5-4 上海（聚集型直辖市）：辖区分布 As-Is vs To-Be" title="" id="147" name="Picture"/>
            <a:graphic>
              <a:graphicData uri="http://schemas.openxmlformats.org/drawingml/2006/picture">
                <pic:pic>
                  <pic:nvPicPr>
                    <pic:cNvPr descr="figures/fig5-4.png" id="148" name="Picture"/>
                    <pic:cNvPicPr>
                      <a:picLocks noChangeArrowheads="1" noChangeAspect="1"/>
                    </pic:cNvPicPr>
                  </pic:nvPicPr>
                  <pic:blipFill>
                    <a:blip r:embed="rId146"/>
                    <a:stretch>
                      <a:fillRect/>
                    </a:stretch>
                  </pic:blipFill>
                  <pic:spPr bwMode="auto">
                    <a:xfrm>
                      <a:off x="0" y="0"/>
                      <a:ext cx="5387278" cy="2626731"/>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上海（聚集型直辖市）：辖区分布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产品组上海市脱敏数据</w:t>
      </w:r>
      <w:r>
        <w:t xml:space="preserve"> + </w:t>
      </w:r>
      <w:r>
        <w:rPr>
          <w:rFonts w:hint="eastAsia"/>
        </w:rPr>
        <w:t xml:space="preserve">论文项目本地算法实证生成。</w:t>
      </w:r>
    </w:p>
    <w:p>
      <w:pPr>
        <w:pStyle w:val="BodyText"/>
      </w:pPr>
      <w:r>
        <w:rPr>
          <w:rFonts w:hint="eastAsia"/>
        </w:rPr>
        <w:t xml:space="preserve">地图左侧</w:t>
      </w:r>
      <w:r>
        <w:t xml:space="preserve"> As-Is </w:t>
      </w:r>
      <w:r>
        <w:rPr>
          <w:rFonts w:hint="eastAsia"/>
        </w:rPr>
        <w:t xml:space="preserve">中可以看到颜色分布相对随机，部分辖区集中在徐汇、长宁等中心城区的高密度医院集群；右侧</w:t>
      </w:r>
      <w:r>
        <w:t xml:space="preserve"> To-Be </w:t>
      </w:r>
      <w:r>
        <w:rPr>
          <w:rFonts w:hint="eastAsia"/>
        </w:rPr>
        <w:t xml:space="preserve">中颜色分布更具空间结构性，相邻医院更倾向于归属同一辖区，体现了算法对地理紧凑性的优化。客户保留率方面，上海的按医院数保留率仅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4"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图</w:t>
      </w:r>
      <w:r>
        <w:t xml:space="preserve"> 5-5 </w:t>
      </w:r>
      <w:r>
        <w:rPr>
          <w:rFonts w:hint="eastAsia"/>
        </w:rPr>
        <w:t xml:space="preserve">展示了新疆</w:t>
      </w:r>
      <w:r>
        <w:t xml:space="preserve"> 35 </w:t>
      </w:r>
      <w:r>
        <w:rPr>
          <w:rFonts w:hint="eastAsia"/>
        </w:rPr>
        <w:t xml:space="preserve">家医院在</w:t>
      </w:r>
      <w:r>
        <w:t xml:space="preserve"> As-Is </w:t>
      </w:r>
      <w:r>
        <w:rPr>
          <w:rFonts w:hint="eastAsia"/>
        </w:rPr>
        <w:t xml:space="preserve">与</w:t>
      </w:r>
      <w:r>
        <w:t xml:space="preserve"> To-Be </w:t>
      </w:r>
      <w:r>
        <w:rPr>
          <w:rFonts w:hint="eastAsia"/>
        </w:rPr>
        <w:t xml:space="preserve">下的辖区分布。</w:t>
      </w:r>
    </w:p>
    <w:p>
      <w:pPr>
        <w:pStyle w:val="CaptionedFigure"/>
      </w:pPr>
      <w:r>
        <w:drawing>
          <wp:inline>
            <wp:extent cx="5395964" cy="2662813"/>
            <wp:effectExtent b="0" l="0" r="0" t="0"/>
            <wp:docPr descr="图 5-5 新疆（地理跨度极大的稀疏场景）：辖区分布 As-Is vs To-Be" title="" id="152" name="Picture"/>
            <a:graphic>
              <a:graphicData uri="http://schemas.openxmlformats.org/drawingml/2006/picture">
                <pic:pic>
                  <pic:nvPicPr>
                    <pic:cNvPr descr="figures/fig5-5.png" id="153" name="Picture"/>
                    <pic:cNvPicPr>
                      <a:picLocks noChangeArrowheads="1" noChangeAspect="1"/>
                    </pic:cNvPicPr>
                  </pic:nvPicPr>
                  <pic:blipFill>
                    <a:blip r:embed="rId151"/>
                    <a:stretch>
                      <a:fillRect/>
                    </a:stretch>
                  </pic:blipFill>
                  <pic:spPr bwMode="auto">
                    <a:xfrm>
                      <a:off x="0" y="0"/>
                      <a:ext cx="5395964" cy="266281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新疆（地理跨度极大的稀疏场景）：辖区分布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产品组新疆维吾尔自治区脱敏数据</w:t>
      </w:r>
      <w:r>
        <w:t xml:space="preserve"> + </w:t>
      </w:r>
      <w:r>
        <w:rPr>
          <w:rFonts w:hint="eastAsia"/>
        </w:rPr>
        <w:t xml:space="preserve">论文项目本地算法实证生成。</w:t>
      </w:r>
    </w:p>
    <w:p>
      <w:pPr>
        <w:pStyle w:val="BodyText"/>
      </w:pPr>
      <w:r>
        <w:rPr>
          <w:rFonts w:hint="eastAsia"/>
        </w:rPr>
        <w:t xml:space="preserve">地图中可以看到</w:t>
      </w:r>
      <w:r>
        <w:t xml:space="preserve"> To-Be </w:t>
      </w:r>
      <w:r>
        <w:rPr>
          <w:rFonts w:hint="eastAsia"/>
        </w:rPr>
        <w:t xml:space="preserve">的辖区颜色分布相比</w:t>
      </w:r>
      <w:r>
        <w:t xml:space="preserve"> As-Is </w:t>
      </w:r>
      <w:r>
        <w:rPr>
          <w:rFonts w:hint="eastAsia"/>
        </w:rPr>
        <w:t xml:space="preserve">呈现更强的空间连续性——在新疆这种南北跨度近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4"/>
    <w:bookmarkStart w:id="155"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5"/>
    <w:bookmarkEnd w:id="156"/>
    <w:bookmarkStart w:id="162" w:name="算法性能与敏感性分析"/>
    <w:p>
      <w:pPr>
        <w:pStyle w:val="Heading2"/>
      </w:pPr>
      <w:r>
        <w:t xml:space="preserve">5.4 </w:t>
      </w:r>
      <w:r>
        <w:rPr>
          <w:rFonts w:hint="eastAsia"/>
        </w:rPr>
        <w:t xml:space="preserve">算法性能与敏感性分析</w:t>
      </w:r>
    </w:p>
    <w:bookmarkStart w:id="160"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5-6。</w:t>
      </w:r>
    </w:p>
    <w:p>
      <w:pPr>
        <w:pStyle w:val="CaptionedFigure"/>
      </w:pPr>
      <w:r>
        <w:drawing>
          <wp:inline>
            <wp:extent cx="5395220" cy="2357641"/>
            <wp:effectExtent b="0" l="0" r="0" t="0"/>
            <wp:docPr descr="图 5-6 三省份计算效率与可扩展性" title="" id="158" name="Picture"/>
            <a:graphic>
              <a:graphicData uri="http://schemas.openxmlformats.org/drawingml/2006/picture">
                <pic:pic>
                  <pic:nvPicPr>
                    <pic:cNvPr descr="figures/fig5-6.png" id="159" name="Picture"/>
                    <pic:cNvPicPr>
                      <a:picLocks noChangeArrowheads="1" noChangeAspect="1"/>
                    </pic:cNvPicPr>
                  </pic:nvPicPr>
                  <pic:blipFill>
                    <a:blip r:embed="rId157"/>
                    <a:stretch>
                      <a:fillRect/>
                    </a:stretch>
                  </pic:blipFill>
                  <pic:spPr bwMode="auto">
                    <a:xfrm>
                      <a:off x="0" y="0"/>
                      <a:ext cx="5395220" cy="2357641"/>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60"/>
    <w:bookmarkStart w:id="161"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4"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5"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5"/>
    <w:bookmarkStart w:id="172" w:name="a.2-问卷量化题目"/>
    <w:p>
      <w:pPr>
        <w:pStyle w:val="Heading2"/>
      </w:pPr>
      <w:r>
        <w:t xml:space="preserve">A.2 </w:t>
      </w:r>
      <w:r>
        <w:rPr>
          <w:rFonts w:hint="eastAsia"/>
        </w:rPr>
        <w:t xml:space="preserve">问卷量化题目</w:t>
      </w:r>
    </w:p>
    <w:bookmarkStart w:id="166"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6"/>
    <w:bookmarkStart w:id="167"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7"/>
    <w:bookmarkStart w:id="168"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8"/>
    <w:bookmarkStart w:id="169"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9"/>
    <w:bookmarkStart w:id="170"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0"/>
    <w:bookmarkStart w:id="171"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1"/>
    <w:bookmarkEnd w:id="172"/>
    <w:bookmarkStart w:id="173"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3"/>
    <w:bookmarkEnd w:id="174"/>
    <w:bookmarkStart w:id="209" w:name="参考文献"/>
    <w:p>
      <w:pPr>
        <w:pStyle w:val="Heading1"/>
      </w:pPr>
      <w:r>
        <w:rPr>
          <w:rFonts w:hint="eastAsia"/>
        </w:rPr>
        <w:t xml:space="preserve">参考文献</w:t>
      </w:r>
    </w:p>
    <w:bookmarkStart w:id="208" w:name="refs"/>
    <w:bookmarkStart w:id="176"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5">
        <w:r>
          <w:rPr>
            <w:rStyle w:val="Hyperlink"/>
          </w:rPr>
          <w:t xml:space="preserve">10.16418/j.issn.1000-3045.20241111006</w:t>
        </w:r>
      </w:hyperlink>
      <w:r>
        <w:t xml:space="preserve">.</w:t>
      </w:r>
    </w:p>
    <w:bookmarkEnd w:id="176"/>
    <w:bookmarkStart w:id="177"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7"/>
    <w:bookmarkStart w:id="178"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8"/>
    <w:bookmarkStart w:id="179" w:name="ref-iqvia2025mpchina"/>
    <w:p>
      <w:pPr>
        <w:pStyle w:val="Bibliography"/>
      </w:pPr>
      <w:r>
        <w:t xml:space="preserve">[4] IQVIA INSTITUTE. Market Prognosis 2025-2029: China[R]. IQVIA, 2025.</w:t>
      </w:r>
    </w:p>
    <w:bookmarkEnd w:id="179"/>
    <w:bookmarkStart w:id="180"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0"/>
    <w:bookmarkStart w:id="181"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1"/>
    <w:bookmarkStart w:id="182"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2"/>
    <w:bookmarkStart w:id="183"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3"/>
    <w:bookmarkStart w:id="184"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4"/>
    <w:bookmarkStart w:id="185"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5"/>
    <w:bookmarkStart w:id="186" w:name="ref-hess1971"/>
    <w:p>
      <w:pPr>
        <w:pStyle w:val="Bibliography"/>
      </w:pPr>
      <w:r>
        <w:t xml:space="preserve">[11] HESS S W, SAMUELS S A. Experiences with a sales districting model: Criteria and implementation[J]. Management Science, 1971, 18(4): 41-54.</w:t>
      </w:r>
    </w:p>
    <w:bookmarkEnd w:id="186"/>
    <w:bookmarkStart w:id="187" w:name="ref-zoltners1983"/>
    <w:p>
      <w:pPr>
        <w:pStyle w:val="Bibliography"/>
      </w:pPr>
      <w:r>
        <w:t xml:space="preserve">[12] ZOLTNERS A A, SINHA P. Sales territory alignment: A review and model[J]. Management Science, 1983, 29(11): 1237-1256.</w:t>
      </w:r>
    </w:p>
    <w:bookmarkEnd w:id="187"/>
    <w:bookmarkStart w:id="188"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8"/>
    <w:bookmarkStart w:id="189" w:name="ref-zoltners2000"/>
    <w:p>
      <w:pPr>
        <w:pStyle w:val="Bibliography"/>
      </w:pPr>
      <w:r>
        <w:t xml:space="preserve">[14] ZOLTNERS A A, LORIMER S E. Sales territory alignment: An overlooked productivity tool[J]. Journal of Personal Selling &amp; Sales Management, 2000, 20(3): 139-150.</w:t>
      </w:r>
    </w:p>
    <w:bookmarkEnd w:id="189"/>
    <w:bookmarkStart w:id="190" w:name="ref-zs2016"/>
    <w:p>
      <w:pPr>
        <w:pStyle w:val="Bibliography"/>
      </w:pPr>
      <w:r>
        <w:t xml:space="preserve">[15] ZS ASSOCIATES. Study: Sales force effectiveness initiatives in medtech industry can boost performance up to 8 percent[Z]. PR Newswire, 2016.</w:t>
      </w:r>
    </w:p>
    <w:bookmarkEnd w:id="190"/>
    <w:bookmarkStart w:id="191"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1"/>
    <w:bookmarkStart w:id="192" w:name="ref-kalcsics2005"/>
    <w:p>
      <w:pPr>
        <w:pStyle w:val="Bibliography"/>
      </w:pPr>
      <w:r>
        <w:t xml:space="preserve">[17] KALCSICS J, NICKEL S, SCHRÖDER M. Towards a unified territory design approach – Applications, algorithms and GIS integration: 71[R]. Berichte des Fraunhofer ITWM, 2005.</w:t>
      </w:r>
    </w:p>
    <w:bookmarkEnd w:id="192"/>
    <w:bookmarkStart w:id="193" w:name="ref-zoltners2014"/>
    <w:p>
      <w:pPr>
        <w:pStyle w:val="Bibliography"/>
      </w:pPr>
      <w:r>
        <w:t xml:space="preserve">[18] ZOLTNERS A A, SINHA P, LORIMER S E. The Power of Sales Analytics[M]. Evanston: ZS Associates, 2014.</w:t>
      </w:r>
    </w:p>
    <w:bookmarkEnd w:id="193"/>
    <w:bookmarkStart w:id="194"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4"/>
    <w:bookmarkStart w:id="195"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5"/>
    <w:bookmarkStart w:id="196"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6"/>
    <w:bookmarkStart w:id="198"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7">
        <w:r>
          <w:rPr>
            <w:rStyle w:val="Hyperlink"/>
          </w:rPr>
          <w:t xml:space="preserve">10.14107/j.cnki.kzgc.20250703</w:t>
        </w:r>
      </w:hyperlink>
      <w:r>
        <w:t xml:space="preserve">.</w:t>
      </w:r>
    </w:p>
    <w:bookmarkEnd w:id="198"/>
    <w:bookmarkStart w:id="199"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9"/>
    <w:bookmarkStart w:id="200"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0"/>
    <w:bookmarkStart w:id="201"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1"/>
    <w:bookmarkStart w:id="202"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2"/>
    <w:bookmarkStart w:id="203"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3"/>
    <w:bookmarkStart w:id="204"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4"/>
    <w:bookmarkStart w:id="205"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5"/>
    <w:bookmarkStart w:id="206" w:name="ref-kuhn1955"/>
    <w:p>
      <w:pPr>
        <w:pStyle w:val="Bibliography"/>
      </w:pPr>
      <w:r>
        <w:t xml:space="preserve">[30] KUHN H W. The Hungarian method for the assignment problem[J]. Naval Research Logistics Quarterly, 1955, 2(1-2): 83-97.</w:t>
      </w:r>
    </w:p>
    <w:bookmarkEnd w:id="206"/>
    <w:bookmarkStart w:id="207" w:name="ref-kirkpatrick1983"/>
    <w:p>
      <w:pPr>
        <w:pStyle w:val="Bibliography"/>
      </w:pPr>
      <w:r>
        <w:t xml:space="preserve">[31] KIRKPATRICK S, GELATT C D, VECCHI M P. Optimization by simulated annealing[J]. Science, 1983, 220(4598): 671-680.</w:t>
      </w:r>
    </w:p>
    <w:bookmarkEnd w:id="207"/>
    <w:bookmarkEnd w:id="208"/>
    <w:bookmarkEnd w:id="20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6" Type="http://schemas.openxmlformats.org/officeDocument/2006/relationships/image" Target="media/rId146.png"/><Relationship Id="rId151" Type="http://schemas.openxmlformats.org/officeDocument/2006/relationships/image" Target="media/rId151.png"/><Relationship Id="rId157" Type="http://schemas.openxmlformats.org/officeDocument/2006/relationships/image" Target="media/rId157.png"/><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2026-05-24T06:51:23Z</dcterms:created>
  <dcterms:modified xsi:type="dcterms:W3CDTF">2026-05-24T06:51:23Z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