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pgSz w:w="11906" w:h="16838"/>
      <w:pgMar w:top="1984" w:bottom="2268" w:left="1587" w:right="1587" w:header="1417" w:footer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731"/>
      </w:tabs>
      <w:pBdr>
        <w:bottom w:val="single" w:sz="4" w:space="1" w:color="000000"/>
      </w:pBdr>
    </w:pPr>
    <w:r>
      <w:rPr>
        <w:rFonts w:ascii="宋体" w:hAnsi="宋体" w:eastAsia="宋体"/>
        <w:sz w:val="18"/>
      </w:rPr>
      <w:t>上海交通大学 MBA 学位论文</w:t>
    </w:r>
    <w:r>
      <w:tab/>
    </w:r>
    <w:r>
      <w:rPr>
        <w:rFonts w:ascii="宋体" w:hAnsi="宋体" w:eastAsia="宋体"/>
        <w:sz w:val="18"/>
      </w:rPr>
      <w:t>运筹算法在制药企业SFE辖区动态分配中的应用及商业化研究</w:t>
    </w: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 w:before="0" w:after="0"/>
      <w:ind w:firstLine="420"/>
    </w:pPr>
    <w:rPr>
      <w:rFonts w:ascii="Times New Roman" w:hAnsi="Times New Roman" w:eastAsia="宋体"/>
      <w:sz w:val="21"/>
    </w:rPr>
  </w:style>
  <w:style w:type="paragraph" w:styleId="BodyText">
    <w:name w:val="Body Text"/>
    <w:basedOn w:val="Normal"/>
    <w:link w:val="BodyTextChar"/>
    <w:pPr>
      <w:spacing w:before="180" w:after="180"/>
      <w:ind w:firstLine="420"/>
    </w:pPr>
    <w:qFormat/>
  </w:style>
  <w:style w:type="paragraph" w:customStyle="1" w:styleId="FirstParagraph">
    <w:name w:val="First Paragraph"/>
    <w:basedOn w:val="Normal"/>
    <w:next w:val="BodyText"/>
    <w:qFormat/>
    <w:pPr>
      <w:ind w:firstLine="42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pageBreakBefore/>
      <w:spacing w:before="0" w:after="48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pageBreakBefore w:val="0"/>
      <w:spacing w:before="24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 w:val="0"/>
      <w:spacing w:before="120" w:after="6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