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第三章-制药企业-sfe-辖区管理现状与痛点诊断"/>
    <w:p>
      <w:pPr>
        <w:pStyle w:val="Heading1"/>
      </w:pPr>
      <w:r>
        <w:t xml:space="preserve">第三章 制药企业 SFE 辖区管理现状与痛点诊断</w:t>
      </w:r>
    </w:p>
    <w:p>
      <w:pPr>
        <w:pStyle w:val="FirstParagraph"/>
      </w:pPr>
      <w:r>
        <w:t xml:space="preserve">第一章和第二章分别从宏观背景与理论文献两个维度，论证了运筹优化算法在制药企业辖区分配中的研究价值与理论基础。本章将视角转向行业实践，以某跨国药企的真实业务场景为案例，系统诊断当前制药企业 SFE 辖区管理的现状与核心痛点，为第四章的模型构建提供问题导向的需求输入。</w:t>
      </w:r>
    </w:p>
    <w:bookmarkStart w:id="23" w:name="医药行业宏观政策环境分析"/>
    <w:p>
      <w:pPr>
        <w:pStyle w:val="Heading2"/>
      </w:pPr>
      <w:r>
        <w:t xml:space="preserve">3.1 医药行业宏观政策环境分析</w:t>
      </w:r>
    </w:p>
    <w:p>
      <w:pPr>
        <w:pStyle w:val="FirstParagraph"/>
      </w:pPr>
      <w:r>
        <w:t xml:space="preserve">制药企业的辖区管理并非孤立的内部运营问题，而是深嵌于行业宏观政策环境之中。近年来，三项重大政策变量——国家集采常态化、医保谈判机制化和医药反腐深水化——从不同维度重塑了制药企业的商业模式与组织架构，进而对辖区分配的频率、复杂度和精度要求产生了深远影响。</w:t>
      </w:r>
    </w:p>
    <w:bookmarkStart w:id="20" w:name="国家集采vbp常态化的影响"/>
    <w:p>
      <w:pPr>
        <w:pStyle w:val="Heading3"/>
      </w:pPr>
      <w:r>
        <w:t xml:space="preserve">3.1.1 国家集采（VBP）常态化的影响</w:t>
      </w:r>
    </w:p>
    <w:p>
      <w:pPr>
        <w:pStyle w:val="FirstParagraph"/>
      </w:pPr>
      <w:r>
        <w:t xml:space="preserve">国家组织药品集中带量采购（Volume-Based Procurement, VBP）自2018年”4+7”试点启动以来，已推进至第十批，累计覆盖品种超过400个，中标药品价格平均降幅超过50%，部分品种降幅超过90%</w:t>
      </w:r>
      <w:r>
        <w:rPr>
          <w:vertAlign w:val="superscript"/>
        </w:rPr>
        <w:t xml:space="preserve">[1]</w:t>
      </w:r>
      <w:r>
        <w:t xml:space="preserve">。集采政策的常态化对制药企业的辖区管理产生了两个层面的直接冲击。</w:t>
      </w:r>
    </w:p>
    <w:p>
      <w:pPr>
        <w:pStyle w:val="BodyText"/>
      </w:pPr>
      <w:r>
        <w:rPr>
          <w:bCs/>
          <w:b/>
        </w:rPr>
        <w:t xml:space="preserve">第一，组织架构的频繁调整。</w:t>
      </w:r>
      <w:r>
        <w:t xml:space="preserve"> </w:t>
      </w:r>
      <w:r>
        <w:t xml:space="preserve">当企业的核心产品被纳入集采后，该产品线的销售团队规模往往需要大幅缩减。以某跨国药企为例，其某一成熟产品线在进入集采后，全国销售代表编制从约300人缩减至不足200人，缩减幅度超过30%。这意味着原有的辖区分配方案需要在短时间内完成重新规划——将原本由300人覆盖的数千家医院终端重新分配给200人，同时确保核心高潜力医院不被遗漏。这种”战略收缩”场景对辖区分配的响应速度和算法能力提出了极高要求。</w:t>
      </w:r>
    </w:p>
    <w:p>
      <w:pPr>
        <w:pStyle w:val="BodyText"/>
      </w:pPr>
      <w:r>
        <w:rPr>
          <w:bCs/>
          <w:b/>
        </w:rPr>
        <w:t xml:space="preserve">第二，资源配置逻辑的根本转变。</w:t>
      </w:r>
      <w:r>
        <w:t xml:space="preserve"> </w:t>
      </w:r>
      <w:r>
        <w:t xml:space="preserve">集采前，企业的辖区分配主要围绕”销量最大化”展开，销售代表的覆盖范围以历史销量为核心权重。集采后，中标品种的销量由集采协议锁定，企业的竞争焦点转向非集采品种和创新药的市场开拓。这要求辖区分配的价值评估体系从单一的历史销量指标，转向融合销售潜力、市场增长率、竞品渗透率等多维度的综合价值指数（Index）。传统的手工分配模式难以处理这种多维度的价值评估与均衡优化。</w:t>
      </w:r>
    </w:p>
    <w:p>
      <w:pPr>
        <w:pStyle w:val="BodyText"/>
      </w:pPr>
      <w:r>
        <w:t xml:space="preserve">从行业整体来看，集采政策加速了制药企业从”粗放式增长”向”精细化运营”的转型。孙旭然（2022）指出，在带量采购等新政下，药品价格大幅下降，仿制药企业面临严峻的生存压力，行业竞争格局正在发生深刻变化</w:t>
      </w:r>
      <w:r>
        <w:rPr>
          <w:vertAlign w:val="superscript"/>
        </w:rPr>
        <w:t xml:space="preserve">[2]</w:t>
      </w:r>
      <w:r>
        <w:t xml:space="preserve">。在这一背景下，辖区分配不再是一项可以”差不多就行”的行政事务，而是直接关系到企业资源配置效率和市场竞争力的战略性决策。</w:t>
      </w:r>
    </w:p>
    <w:bookmarkEnd w:id="20"/>
    <w:bookmarkStart w:id="21" w:name="医保谈判对企业利润空间的挤压"/>
    <w:p>
      <w:pPr>
        <w:pStyle w:val="Heading3"/>
      </w:pPr>
      <w:r>
        <w:t xml:space="preserve">3.1.2 医保谈判对企业利润空间的挤压</w:t>
      </w:r>
    </w:p>
    <w:p>
      <w:pPr>
        <w:pStyle w:val="FirstParagraph"/>
      </w:pPr>
      <w:r>
        <w:t xml:space="preserve">与集采主要影响成熟仿制药不同，国家医保谈判机制的建立对创新药企业的辖区管理产生了独特的影响。医保目录动态调整机制使得创新药从获批上市到纳入医保的周期大幅缩短至约一年，但谈判降价幅度同样显著，平均降幅约为60%</w:t>
      </w:r>
      <w:r>
        <w:rPr>
          <w:vertAlign w:val="superscript"/>
        </w:rPr>
        <w:t xml:space="preserve">[3]</w:t>
      </w:r>
      <w:r>
        <w:t xml:space="preserve">。</w:t>
      </w:r>
    </w:p>
    <w:p>
      <w:pPr>
        <w:pStyle w:val="BodyText"/>
      </w:pPr>
      <w:r>
        <w:t xml:space="preserve">这一政策环境对辖区管理的影响体现在”时间窗口压缩”效应上。创新药的商业化窗口期被大幅缩短——企业必须在产品纳入医保后的极短时间内完成全国范围的销售团队部署和辖区划分，以抢占市场先机。这种”新产品上市扩张”场景要求辖区分配系统具备快速响应能力：在新增数十名甚至上百名销售代表的情况下，迅速生成覆盖全国的辖区方案，同时确保新辖区与现有辖区的衔接不产生冲突。</w:t>
      </w:r>
    </w:p>
    <w:p>
      <w:pPr>
        <w:pStyle w:val="BodyText"/>
      </w:pPr>
      <w:r>
        <w:t xml:space="preserve">此外，医保谈判的降价压力进一步压缩了企业的利润空间，使得企业对辖区分配的”公平性”要求更加敏感。当每位销售代表的绩效直接与其辖区内的销售潜力挂钩时，辖区之间的潜力差异将直接转化为收入差异。如果辖区分配不够均衡，不仅会引发销售团队的不满和人才流失，还会导致高潜力区域的资源浪费和低潜力区域的过度投入。因此，医保谈判的降价效应间接提升了企业对辖区分配均衡性的精度要求。</w:t>
      </w:r>
    </w:p>
    <w:bookmarkEnd w:id="21"/>
    <w:bookmarkStart w:id="22" w:name="反腐深化对商业模式的冲击"/>
    <w:p>
      <w:pPr>
        <w:pStyle w:val="Heading3"/>
      </w:pPr>
      <w:r>
        <w:t xml:space="preserve">3.1.3 反腐深化对商业模式的冲击</w:t>
      </w:r>
    </w:p>
    <w:p>
      <w:pPr>
        <w:pStyle w:val="FirstParagraph"/>
      </w:pPr>
      <w:r>
        <w:t xml:space="preserve">2023年以来，医药领域反腐进入”深水区”，对制药企业的商业模式和销售管理产生了深远影响。章梦晗（2025）的调查报道显示，A股471家医药概念企业2024年上半年销售费用总额同比下降5.84%，其中276家企业的销售费用率同比下降</w:t>
      </w:r>
      <w:r>
        <w:rPr>
          <w:vertAlign w:val="superscript"/>
        </w:rPr>
        <w:t xml:space="preserve">[4]</w:t>
      </w:r>
      <w:r>
        <w:t xml:space="preserve">。反腐高压从三个维度影响了辖区管理的实践。</w:t>
      </w:r>
    </w:p>
    <w:p>
      <w:pPr>
        <w:pStyle w:val="BodyText"/>
      </w:pPr>
      <w:r>
        <w:rPr>
          <w:bCs/>
          <w:b/>
        </w:rPr>
        <w:t xml:space="preserve">第一，销售模式的根本转型。</w:t>
      </w:r>
      <w:r>
        <w:t xml:space="preserve"> </w:t>
      </w:r>
      <w:r>
        <w:t xml:space="preserve">传统的”带金销售”模式加速退出历史舞台，企业被迫转向以学术推广为核心的合规化运营。多位医药从业者在接受采访时表示，</w:t>
      </w:r>
      <w:r>
        <w:t xml:space="preserve">“</w:t>
      </w:r>
      <w:r>
        <w:t xml:space="preserve">以前销售代表靠关系就能影响处方，现在必须走正规学术路线</w:t>
      </w:r>
      <w:r>
        <w:t xml:space="preserve">”</w:t>
      </w:r>
      <w:r>
        <w:rPr>
          <w:vertAlign w:val="superscript"/>
        </w:rPr>
        <w:t xml:space="preserve">[4]</w:t>
      </w:r>
      <w:r>
        <w:t xml:space="preserve">。这一转型意味着销售代表的工作内容从”客情维护”转向”学术推广”，其覆盖能力和工作效率发生了质的变化。辖区分配需要重新评估每位代表的合理工作负荷，传统的以”客户数量”为核心的分配逻辑需要向”学术覆盖质量”转变。</w:t>
      </w:r>
    </w:p>
    <w:p>
      <w:pPr>
        <w:pStyle w:val="BodyText"/>
      </w:pPr>
      <w:r>
        <w:rPr>
          <w:bCs/>
          <w:b/>
        </w:rPr>
        <w:t xml:space="preserve">第二，医院准入门槛的提高。</w:t>
      </w:r>
      <w:r>
        <w:t xml:space="preserve"> </w:t>
      </w:r>
      <w:r>
        <w:t xml:space="preserve">反腐后，医院对药企的学术活动和人员来访建立了更严格的报备制度。医生对参加学术会议变得更加谨慎，</w:t>
      </w:r>
      <w:r>
        <w:t xml:space="preserve">“</w:t>
      </w:r>
      <w:r>
        <w:t xml:space="preserve">通过权威医学会下发红头文件的会议邀请，医生们才愿意参加</w:t>
      </w:r>
      <w:r>
        <w:t xml:space="preserve">”</w:t>
      </w:r>
      <w:r>
        <w:rPr>
          <w:vertAlign w:val="superscript"/>
        </w:rPr>
        <w:t xml:space="preserve">[4]</w:t>
      </w:r>
      <w:r>
        <w:t xml:space="preserve">。这种变化使得销售代表与医生的沟通效率显著降低，单位时间内的有效拜访次数减少。辖区分配需要考虑这一新的现实约束，适当降低每位代表的医院覆盖数量，以保证学术推广的质量和深度。</w:t>
      </w:r>
    </w:p>
    <w:p>
      <w:pPr>
        <w:pStyle w:val="BodyText"/>
      </w:pPr>
      <w:r>
        <w:rPr>
          <w:bCs/>
          <w:b/>
        </w:rPr>
        <w:t xml:space="preserve">第三，组织架构的被动调整。</w:t>
      </w:r>
      <w:r>
        <w:t xml:space="preserve"> </w:t>
      </w:r>
      <w:r>
        <w:t xml:space="preserve">反腐导致部分企业的医药代表数量锐减，尤其是以仿制药为主的企业。这种非计划性的人员变动进一步加剧了辖区分配的频率和复杂度。企业需要在人员流失后快速重新分配辖区，同时尽量保持客户关系的连续性，避免因代表更换导致的业务中断。</w:t>
      </w:r>
    </w:p>
    <w:p>
      <w:pPr>
        <w:pStyle w:val="BodyText"/>
      </w:pPr>
      <w:r>
        <w:t xml:space="preserve">综合来看，国家集采、医保谈判和医药反腐三重政策压力的叠加，使得制药企业的辖区管理面临前所未有的挑战：组织架构调整更加频繁（从年度调整变为季度甚至月度调整）、分配维度更加复杂（从单一销量指标变为多维综合价值指数）、精度要求更加严格（从”大致均衡”变为”精确均衡”）。这些变化从根本上超越了传统手工分配模式的能力边界，为智能算法的引入创造了迫切的需求。</w:t>
      </w:r>
    </w:p>
    <w:bookmarkEnd w:id="22"/>
    <w:bookmarkEnd w:id="23"/>
    <w:bookmarkStart w:id="26" w:name="现行辖区管理模式分析以某跨国药企为例"/>
    <w:p>
      <w:pPr>
        <w:pStyle w:val="Heading2"/>
      </w:pPr>
      <w:r>
        <w:t xml:space="preserve">3.2 现行辖区管理模式分析——以某跨国药企为例</w:t>
      </w:r>
    </w:p>
    <w:p>
      <w:pPr>
        <w:pStyle w:val="FirstParagraph"/>
      </w:pPr>
      <w:r>
        <w:t xml:space="preserve">为深入理解制药企业辖区管理的实际运作方式及其局限性，本节以作者所服务的某跨国药企（以下简称”A公司”）为案例，剖析当前行业中最具代表性的两种辖区管理模式：传统手工划分模式和外部咨询/SaaS系统模式。</w:t>
      </w:r>
    </w:p>
    <w:bookmarkStart w:id="24" w:name="传统手工划分与静态咨询模式的流程"/>
    <w:p>
      <w:pPr>
        <w:pStyle w:val="Heading3"/>
      </w:pPr>
      <w:r>
        <w:t xml:space="preserve">3.2.1 传统手工划分与静态咨询模式的流程</w:t>
      </w:r>
    </w:p>
    <w:p>
      <w:pPr>
        <w:pStyle w:val="FirstParagraph"/>
      </w:pPr>
      <w:r>
        <w:t xml:space="preserve">A公司是一家在华运营超过20年的跨国制药企业，拥有覆盖肿瘤、免疫、心血管等多个治疗领域的产品线，全国销售代表编制约1500人，覆盖目标医院终端超过8000家。其辖区管理的典型流程如下：</w:t>
      </w:r>
    </w:p>
    <w:p>
      <w:pPr>
        <w:pStyle w:val="BodyText"/>
      </w:pPr>
      <w:r>
        <w:rPr>
          <w:bCs/>
          <w:b/>
        </w:rPr>
        <w:t xml:space="preserve">（1）年度辖区规划阶段。</w:t>
      </w:r>
      <w:r>
        <w:t xml:space="preserve"> </w:t>
      </w:r>
      <w:r>
        <w:t xml:space="preserve">每年第四季度，A公司的中央SFE团队启动下一年度的辖区规划。该团队通常由3-5名SFE分析师组成，负责收集和整合来自CRM系统的医院基础数据、流向数据、处方数据以及第三方市场潜力数据。数据整合完成后，SFE团队使用Excel构建辖区分配的基础框架，按照省份、城市、区县的行政层级逐级拆解。</w:t>
      </w:r>
    </w:p>
    <w:p>
      <w:pPr>
        <w:pStyle w:val="BodyText"/>
      </w:pPr>
      <w:r>
        <w:rPr>
          <w:bCs/>
          <w:b/>
        </w:rPr>
        <w:t xml:space="preserve">（2）</w:t>
      </w:r>
      <w:r>
        <w:rPr>
          <w:bCs/>
          <w:b/>
        </w:rPr>
        <w:t xml:space="preserve">“</w:t>
      </w:r>
      <w:r>
        <w:rPr>
          <w:bCs/>
          <w:b/>
        </w:rPr>
        <w:t xml:space="preserve">自下而上</w:t>
      </w:r>
      <w:r>
        <w:rPr>
          <w:bCs/>
          <w:b/>
        </w:rPr>
        <w:t xml:space="preserve">”</w:t>
      </w:r>
      <w:r>
        <w:rPr>
          <w:bCs/>
          <w:b/>
        </w:rPr>
        <w:t xml:space="preserve">的博弈阶段。</w:t>
      </w:r>
      <w:r>
        <w:t xml:space="preserve"> </w:t>
      </w:r>
      <w:r>
        <w:t xml:space="preserve">初始方案形成后，SFE团队将方案下发至各大区经理和地区经理进行审核。这一阶段是整个流程中最耗时的环节。一线销售经理基于自身的业务经验和利益考量，对辖区方案提出大量修改意见。常见的争议包括：某家高潜力医院应归属哪个辖区、某个区县是否应该拆分、某位代表的工作量是否过重或过轻等。SFE团队需要与数十位销售经理逐一沟通、反复协调，整个博弈过程通常持续4-6周。</w:t>
      </w:r>
    </w:p>
    <w:p>
      <w:pPr>
        <w:pStyle w:val="BodyText"/>
      </w:pPr>
      <w:r>
        <w:rPr>
          <w:bCs/>
          <w:b/>
        </w:rPr>
        <w:t xml:space="preserve">（3）方案定稿与执行阶段。</w:t>
      </w:r>
      <w:r>
        <w:t xml:space="preserve"> </w:t>
      </w:r>
      <w:r>
        <w:t xml:space="preserve">经过多轮博弈后，最终方案由销售副总裁审批定稿。然而，由于博弈过程中的大量人为干预，最终方案往往偏离了SFE团队最初的均衡性设计，呈现出”强势经理多拿资源、弱势经理被动接受”的分配格局。</w:t>
      </w:r>
    </w:p>
    <w:p>
      <w:pPr>
        <w:pStyle w:val="BodyText"/>
      </w:pPr>
      <w:r>
        <w:t xml:space="preserve">在外部咨询模式方面，A公司曾聘请某国际咨询公司（ZS Associates）提供辖区分配的咨询服务。咨询公司的工作模式通常是：在项目启动阶段收集数据，经过4-8周的分析后交付一份静态的辖区分配报告（通常以PowerPoint和Excel形式呈现）。这种”一次性交付”的模式存在明显的局限性——当企业在项目交付后发生组织架构调整时，咨询报告即刻失效，企业不得不重新启动咨询项目或回归手工分配。</w:t>
      </w:r>
    </w:p>
    <w:bookmarkEnd w:id="24"/>
    <w:bookmarkStart w:id="25" w:name="组织架构频繁变动下的管理挑战"/>
    <w:p>
      <w:pPr>
        <w:pStyle w:val="Heading3"/>
      </w:pPr>
      <w:r>
        <w:t xml:space="preserve">3.2.2 组织架构频繁变动下的管理挑战</w:t>
      </w:r>
    </w:p>
    <w:p>
      <w:pPr>
        <w:pStyle w:val="FirstParagraph"/>
      </w:pPr>
      <w:r>
        <w:t xml:space="preserve">在当前的政策环境下，A公司的组织架构调整频率显著加快。仅在2023-2024年间，A公司就经历了以下重大调整：</w:t>
      </w:r>
    </w:p>
    <w:p>
      <w:pPr>
        <w:numPr>
          <w:ilvl w:val="0"/>
          <w:numId w:val="1001"/>
        </w:numPr>
        <w:pStyle w:val="Compact"/>
      </w:pPr>
      <w:r>
        <w:t xml:space="preserve">某成熟产品线因进入集采，全国销售团队从280人缩减至180人；</w:t>
      </w:r>
    </w:p>
    <w:p>
      <w:pPr>
        <w:numPr>
          <w:ilvl w:val="0"/>
          <w:numId w:val="1001"/>
        </w:numPr>
        <w:pStyle w:val="Compact"/>
      </w:pPr>
      <w:r>
        <w:t xml:space="preserve">某创新药获批上市，新组建了120人的销售团队；</w:t>
      </w:r>
    </w:p>
    <w:p>
      <w:pPr>
        <w:numPr>
          <w:ilvl w:val="0"/>
          <w:numId w:val="1001"/>
        </w:numPr>
        <w:pStyle w:val="Compact"/>
      </w:pPr>
      <w:r>
        <w:t xml:space="preserve">两个治疗领域的销售团队合并，涉及约400人的辖区重新划分；</w:t>
      </w:r>
    </w:p>
    <w:p>
      <w:pPr>
        <w:numPr>
          <w:ilvl w:val="0"/>
          <w:numId w:val="1001"/>
        </w:numPr>
        <w:pStyle w:val="Compact"/>
      </w:pPr>
      <w:r>
        <w:t xml:space="preserve">多个省份因区域经理离职或调动，需要进行局部辖区调整。</w:t>
      </w:r>
    </w:p>
    <w:p>
      <w:pPr>
        <w:pStyle w:val="FirstParagraph"/>
      </w:pPr>
      <w:r>
        <w:t xml:space="preserve">每一次组织架构调整都意味着辖区的重新分配。在传统手工模式下，一次全国范围的辖区重新规划需要6-8周的时间，而局部调整也需要2-3周。当多次调整在短时间内叠加时，SFE团队陷入了”刚完成上一轮调整，下一轮调整又已启动”的恶性循环。</w:t>
      </w:r>
    </w:p>
    <w:p>
      <w:pPr>
        <w:pStyle w:val="BodyText"/>
      </w:pPr>
      <w:r>
        <w:t xml:space="preserve">更为严峻的是，频繁的辖区调整直接导致了客户关系的断裂。当一位销售代表被重新分配到新的辖区时，其原有辖区内的医生需要与新的代表重新建立信任关系。在医药反腐的背景下，这种信任关系的重建变得更加困难和耗时。据A公司内部统计，每次辖区调整后的3-6个月内，受影响区域的销售业绩平均下降8%-15%，这一”震荡成本”已成为企业管理层高度关注的问题。</w:t>
      </w:r>
    </w:p>
    <w:bookmarkEnd w:id="25"/>
    <w:bookmarkEnd w:id="26"/>
    <w:bookmarkStart w:id="30" w:name="核心痛点与成因分析"/>
    <w:p>
      <w:pPr>
        <w:pStyle w:val="Heading2"/>
      </w:pPr>
      <w:r>
        <w:t xml:space="preserve">3.3 核心痛点与成因分析</w:t>
      </w:r>
    </w:p>
    <w:p>
      <w:pPr>
        <w:pStyle w:val="FirstParagraph"/>
      </w:pPr>
      <w:r>
        <w:t xml:space="preserve">基于对A公司及行业内多家制药企业的深入调研，本节将当前辖区管理的核心痛点归纳为三个维度：分配公平性、响应时效性和技术支撑能力。</w:t>
      </w:r>
    </w:p>
    <w:bookmarkStart w:id="27" w:name="区域分配不公与资源错配"/>
    <w:p>
      <w:pPr>
        <w:pStyle w:val="Heading3"/>
      </w:pPr>
      <w:r>
        <w:t xml:space="preserve">3.3.1 区域分配不公与资源错配</w:t>
      </w:r>
    </w:p>
    <w:p>
      <w:pPr>
        <w:pStyle w:val="FirstParagraph"/>
      </w:pPr>
      <w:r>
        <w:t xml:space="preserve">辖区分配的公平性是销售团队管理中最敏感的问题之一。在传统手工分配模式下，分配不公主要表现在以下几个方面：</w:t>
      </w:r>
    </w:p>
    <w:p>
      <w:pPr>
        <w:pStyle w:val="BodyText"/>
      </w:pPr>
      <w:r>
        <w:rPr>
          <w:bCs/>
          <w:b/>
        </w:rPr>
        <w:t xml:space="preserve">（1）Index均衡度偏差过大。</w:t>
      </w:r>
      <w:r>
        <w:t xml:space="preserve"> </w:t>
      </w:r>
      <w:r>
        <w:t xml:space="preserve">在A公司的实际案例中，同一产品线内不同辖区的综合价值指数（Index）差异可达2-3倍。例如，某省份的8个辖区中，Index最高的辖区为理想值的180%，而最低的仅为理想值的60%。这意味着两位能力相当的销售代表，仅因辖区分配的差异，其业绩表现就可能相差3倍。这种不公平直接导致了销售团队的士气低落和人才流失。</w:t>
      </w:r>
    </w:p>
    <w:p>
      <w:pPr>
        <w:pStyle w:val="BodyText"/>
      </w:pPr>
      <w:r>
        <w:rPr>
          <w:bCs/>
          <w:b/>
        </w:rPr>
        <w:t xml:space="preserve">（2）</w:t>
      </w:r>
      <w:r>
        <w:rPr>
          <w:bCs/>
          <w:b/>
        </w:rPr>
        <w:t xml:space="preserve">“</w:t>
      </w:r>
      <w:r>
        <w:rPr>
          <w:bCs/>
          <w:b/>
        </w:rPr>
        <w:t xml:space="preserve">超大医院</w:t>
      </w:r>
      <w:r>
        <w:rPr>
          <w:bCs/>
          <w:b/>
        </w:rPr>
        <w:t xml:space="preserve">”</w:t>
      </w:r>
      <w:r>
        <w:rPr>
          <w:bCs/>
          <w:b/>
        </w:rPr>
        <w:t xml:space="preserve">分配难题。</w:t>
      </w:r>
      <w:r>
        <w:t xml:space="preserve"> </w:t>
      </w:r>
      <w:r>
        <w:t xml:space="preserve">中国医药市场的一个显著特征是医院终端的价值分布极度不均。以肿瘤领域为例，复旦大学附属肿瘤医院、北京大学肿瘤医院等顶级医院的单院销售潜力可能相当于数十家普通医院的总和。在传统分配模式下，拥有这类”超大医院”的辖区天然具有巨大的Index优势，而其他辖区则难以弥补这一差距。这一问题在手工分配中几乎无解，因为将超大医院拆分给多位代表共同覆盖需要精确的份额计算和协调机制，远超Excel的处理能力。</w:t>
      </w:r>
    </w:p>
    <w:p>
      <w:pPr>
        <w:pStyle w:val="BodyText"/>
      </w:pPr>
      <w:r>
        <w:rPr>
          <w:bCs/>
          <w:b/>
        </w:rPr>
        <w:t xml:space="preserve">（3）</w:t>
      </w:r>
      <w:r>
        <w:rPr>
          <w:bCs/>
          <w:b/>
        </w:rPr>
        <w:t xml:space="preserve">“</w:t>
      </w:r>
      <w:r>
        <w:rPr>
          <w:bCs/>
          <w:b/>
        </w:rPr>
        <w:t xml:space="preserve">强势经理</w:t>
      </w:r>
      <w:r>
        <w:rPr>
          <w:bCs/>
          <w:b/>
        </w:rPr>
        <w:t xml:space="preserve">”</w:t>
      </w:r>
      <w:r>
        <w:rPr>
          <w:bCs/>
          <w:b/>
        </w:rPr>
        <w:t xml:space="preserve">效应。</w:t>
      </w:r>
      <w:r>
        <w:t xml:space="preserve"> </w:t>
      </w:r>
      <w:r>
        <w:t xml:space="preserve">在”自下而上”的博弈过程中，资历深、话语权大的销售经理往往能够为自己的团队争取到更优质的辖区资源，而新晋经理或弱势团队则被动接受剩余资源。这种”人治”色彩浓厚的分配机制，使得辖区分配的结果更多取决于博弈能力而非客观数据，从根本上背离了SFE管理的科学化初衷。</w:t>
      </w:r>
    </w:p>
    <w:bookmarkEnd w:id="27"/>
    <w:bookmarkStart w:id="28" w:name="响应滞后与数据支撑缺失"/>
    <w:p>
      <w:pPr>
        <w:pStyle w:val="Heading3"/>
      </w:pPr>
      <w:r>
        <w:t xml:space="preserve">3.3.2 响应滞后与数据支撑缺失</w:t>
      </w:r>
    </w:p>
    <w:p>
      <w:pPr>
        <w:pStyle w:val="FirstParagraph"/>
      </w:pPr>
      <w:r>
        <w:rPr>
          <w:bCs/>
          <w:b/>
        </w:rPr>
        <w:t xml:space="preserve">（1）响应周期过长。</w:t>
      </w:r>
      <w:r>
        <w:t xml:space="preserve"> </w:t>
      </w:r>
      <w:r>
        <w:t xml:space="preserve">如前所述，一次全国范围的辖区重新规划在手工模式下需要6-8周。在当前组织架构频繁调整的环境下，这一响应周期已严重滞后于业务需求。当企业因集采或反腐需要快速调整团队规模时，SFE团队往往无法在要求的时间窗口内完成辖区重新分配，导致出现”人已到位但辖区未定”的管理真空期。</w:t>
      </w:r>
    </w:p>
    <w:p>
      <w:pPr>
        <w:pStyle w:val="BodyText"/>
      </w:pPr>
      <w:r>
        <w:rPr>
          <w:bCs/>
          <w:b/>
        </w:rPr>
        <w:t xml:space="preserve">（2）方案迭代能力不足。</w:t>
      </w:r>
      <w:r>
        <w:t xml:space="preserve"> </w:t>
      </w:r>
      <w:r>
        <w:t xml:space="preserve">手工分配模式的另一个致命缺陷是缺乏快速迭代能力。当管理层提出”如果将团队规模从200人调整为180人，辖区方案会如何变化？</w:t>
      </w:r>
      <w:r>
        <w:t xml:space="preserve">“</w:t>
      </w:r>
      <w:r>
        <w:t xml:space="preserve">这类假设性问题时，SFE团队需要从头开始重新计算，无法在短时间内提供多套备选方案供决策参考。这种</w:t>
      </w:r>
      <w:r>
        <w:t xml:space="preserve">”</w:t>
      </w:r>
      <w:r>
        <w:t xml:space="preserve">单方案、慢迭代”的工作模式严重制约了管理层的决策效率。</w:t>
      </w:r>
    </w:p>
    <w:p>
      <w:pPr>
        <w:pStyle w:val="BodyText"/>
      </w:pPr>
      <w:r>
        <w:rPr>
          <w:bCs/>
          <w:b/>
        </w:rPr>
        <w:t xml:space="preserve">（3）数据利用率低下。</w:t>
      </w:r>
      <w:r>
        <w:t xml:space="preserve"> </w:t>
      </w:r>
      <w:r>
        <w:t xml:space="preserve">王晓玲（2024）指出，我国生物医药行业数字化转型受限于数据基础不足、缺少针对性的评估体系以及复合背景人才短缺等瓶颈</w:t>
      </w:r>
      <w:r>
        <w:rPr>
          <w:vertAlign w:val="superscript"/>
        </w:rPr>
        <w:t xml:space="preserve">[5]</w:t>
      </w:r>
      <w:r>
        <w:t xml:space="preserve">。在辖区管理领域，这一问题表现得尤为突出。A公司的CRM系统中沉淀了海量的医院基础数据、医生分级数据、处方数据和流向数据，但这些数据在辖区分配过程中的利用率极低。SFE团队通常只使用历史销量和医院数量两个维度进行粗略分配，大量具有决策价值的数据（如市场潜力、竞品渗透率、地理距离等）被闲置。这种”数据丰富、算法贫乏”的矛盾，是制药企业辖区管理中最大的效率损失来源。</w:t>
      </w:r>
    </w:p>
    <w:bookmarkEnd w:id="28"/>
    <w:bookmarkStart w:id="29" w:name="商业化-saas-系统的水土不服"/>
    <w:p>
      <w:pPr>
        <w:pStyle w:val="Heading3"/>
      </w:pPr>
      <w:r>
        <w:t xml:space="preserve">3.3.3 商业化 SaaS 系统的”水土不服”</w:t>
      </w:r>
    </w:p>
    <w:p>
      <w:pPr>
        <w:pStyle w:val="FirstParagraph"/>
      </w:pPr>
      <w:r>
        <w:t xml:space="preserve">面对手工分配的种种弊端，部分制药企业曾寄希望于商业化SaaS系统来解决辖区管理问题。全球领先的数据与技术公司（如IQVIA、Veeva等）开发了专用于辖区分配的标准化系统（如IQVIA OCE、Veeva Align等）。然而，这些系统在中国市场的落地效果并不理想，主要原因包括以下几个方面。</w:t>
      </w:r>
    </w:p>
    <w:p>
      <w:pPr>
        <w:pStyle w:val="BodyText"/>
      </w:pPr>
      <w:r>
        <w:rPr>
          <w:bCs/>
          <w:b/>
        </w:rPr>
        <w:t xml:space="preserve">（1）业务规则的高度非标准化。</w:t>
      </w:r>
      <w:r>
        <w:t xml:space="preserve"> </w:t>
      </w:r>
      <w:r>
        <w:t xml:space="preserve">中国医药市场的辖区管理具有极强的动态性与非标准性。不同企业、不同产品线、甚至同一企业在不同省份，其业务规则都存在极大的差异。例如，某些企业要求同一区县的医院必须归属同一辖区（区县集中度约束），而另一些企业则允许跨区县分配；某些产品线存在”大医院共岗”的特殊安排，而另一些则严格执行”一院一代表”原则。这种过于灵活且非线性的业务规则，导致标准化SaaS系统难以在底层架构上完成有效的数据抽象与业务流程泛化。</w:t>
      </w:r>
    </w:p>
    <w:p>
      <w:pPr>
        <w:pStyle w:val="BodyText"/>
      </w:pPr>
      <w:r>
        <w:rPr>
          <w:bCs/>
          <w:b/>
        </w:rPr>
        <w:t xml:space="preserve">（2）定制化开发的成本陷阱。</w:t>
      </w:r>
      <w:r>
        <w:t xml:space="preserve"> </w:t>
      </w:r>
      <w:r>
        <w:t xml:space="preserve">为了满足不同药企客户的独特诉求，SaaS提供商不得不投入大量资源进行定制化开发。这不仅背离了SaaS产品边际成本递减的商业逻辑，还导致产品开发与维护成本居高不下。据行业内部人士透露，某国际SaaS系统在中国市场的单客户年度订阅费用高达数十万美元，但仍需额外支付大量的定制化开发费用。最终，由于投入产出比严重失衡，多个辖区分配系统被迫面临重组、剥离甚至弃用。</w:t>
      </w:r>
    </w:p>
    <w:p>
      <w:pPr>
        <w:pStyle w:val="BodyText"/>
      </w:pPr>
      <w:r>
        <w:rPr>
          <w:bCs/>
          <w:b/>
        </w:rPr>
        <w:t xml:space="preserve">（3）中国特色业务场景的适配困难。</w:t>
      </w:r>
      <w:r>
        <w:t xml:space="preserve"> </w:t>
      </w:r>
      <w:r>
        <w:t xml:space="preserve">中国拥有极其复杂的行政区划体系（省-市-区县-街道四级）、差异巨大的城乡医疗水平，以及独特的”超大型医院共岗”和”医联体”等特色。这些中国特有的业务场景在西方市场中并不存在，因此基于西方市场设计的SaaS系统在底层数据模型上就存在先天不足。例如，中国的”超大型医院”（如复旦大学附属肿瘤医院）的单院Index可能超过普通医院的10倍以上，这种极端的价值分布在欧美市场中极为罕见，标准化系统的均衡算法往往无法有效处理。</w:t>
      </w:r>
    </w:p>
    <w:bookmarkEnd w:id="29"/>
    <w:bookmarkEnd w:id="30"/>
    <w:bookmarkStart w:id="31" w:name="引入智能算法的必要性分析"/>
    <w:p>
      <w:pPr>
        <w:pStyle w:val="Heading2"/>
      </w:pPr>
      <w:r>
        <w:t xml:space="preserve">3.4 引入智能算法的必要性分析</w:t>
      </w:r>
    </w:p>
    <w:p>
      <w:pPr>
        <w:pStyle w:val="FirstParagraph"/>
      </w:pPr>
      <w:r>
        <w:t xml:space="preserve">综合上述分析，当前制药企业辖区管理面临的核心矛盾可以概括为：</w:t>
      </w:r>
      <w:r>
        <w:rPr>
          <w:bCs/>
          <w:b/>
        </w:rPr>
        <w:t xml:space="preserve">业务需求的复杂性与管理工具的简陋性之间的深刻错配。</w:t>
      </w:r>
    </w:p>
    <w:p>
      <w:pPr>
        <w:pStyle w:val="BodyText"/>
      </w:pPr>
      <w:r>
        <w:t xml:space="preserve">一方面，宏观政策环境的剧变使得辖区分配的频率、维度和精度要求全面升级。企业需要一种能够在数分钟内处理数千家医院、数百名代表、数十种约束条件的分配工具，并且能够快速生成多套备选方案供管理层决策。另一方面，现有的管理工具——无论是Excel手工分配还是商业化SaaS系统——都无法满足这一需求。</w:t>
      </w:r>
    </w:p>
    <w:p>
      <w:pPr>
        <w:pStyle w:val="BodyText"/>
      </w:pPr>
      <w:r>
        <w:t xml:space="preserve">引入智能运筹算法的必要性体现在以下四个方面：</w:t>
      </w:r>
    </w:p>
    <w:p>
      <w:pPr>
        <w:pStyle w:val="BodyText"/>
      </w:pPr>
      <w:r>
        <w:rPr>
          <w:bCs/>
          <w:b/>
        </w:rPr>
        <w:t xml:space="preserve">第一，算法能够实现多目标的同时优化。</w:t>
      </w:r>
      <w:r>
        <w:t xml:space="preserve"> </w:t>
      </w:r>
      <w:r>
        <w:t xml:space="preserve">辖区分配本质上是一个多目标优化问题，需要同时兼顾Index均衡度、地理紧凑性、容量约束、客户保留率等多个维度。人工分配只能在有限的维度上进行粗略平衡，而运筹优化算法能够将所有目标纳入统一的代价函数，通过数学求解实现全局近似最优。</w:t>
      </w:r>
    </w:p>
    <w:p>
      <w:pPr>
        <w:pStyle w:val="BodyText"/>
      </w:pPr>
      <w:r>
        <w:rPr>
          <w:bCs/>
          <w:b/>
        </w:rPr>
        <w:t xml:space="preserve">第二，算法能够处理复杂的约束体系。</w:t>
      </w:r>
      <w:r>
        <w:t xml:space="preserve"> </w:t>
      </w:r>
      <w:r>
        <w:t xml:space="preserve">制药企业的辖区分配涉及大量的硬约束（如锁定分配、拆分分散、城市上限等）和软约束（如Index均衡、容量限制、地理跨度等）。这些约束之间存在复杂的交互关系，人工处理极易遗漏或冲突。算法能够系统性地管理这些约束，确保每一个分配方案都满足所有业务规则。</w:t>
      </w:r>
    </w:p>
    <w:p>
      <w:pPr>
        <w:pStyle w:val="BodyText"/>
      </w:pPr>
      <w:r>
        <w:rPr>
          <w:bCs/>
          <w:b/>
        </w:rPr>
        <w:t xml:space="preserve">第三，算法能够大幅提升响应速度。</w:t>
      </w:r>
      <w:r>
        <w:t xml:space="preserve"> </w:t>
      </w:r>
      <w:r>
        <w:t xml:space="preserve">基于模拟退火等启发式算法的求解框架，能够在数分钟内完成一次全国范围的辖区分配计算。相比手工模式的6-8周，响应速度提升了数百倍。这使得企业能够在组织架构调整后快速生成新的辖区方案，消除”管理真空期”。</w:t>
      </w:r>
    </w:p>
    <w:p>
      <w:pPr>
        <w:pStyle w:val="BodyText"/>
      </w:pPr>
      <w:r>
        <w:rPr>
          <w:bCs/>
          <w:b/>
        </w:rPr>
        <w:t xml:space="preserve">第四，算法能够支持场景模拟与决策支持。</w:t>
      </w:r>
      <w:r>
        <w:t xml:space="preserve"> </w:t>
      </w:r>
      <w:r>
        <w:t xml:space="preserve">算法的快速计算能力使得”假设分析”（What-if Analysis）成为可能。管理层可以在数分钟内比较”裁员20%</w:t>
      </w:r>
      <w:r>
        <w:t xml:space="preserve">“</w:t>
      </w:r>
      <w:r>
        <w:t xml:space="preserve">、</w:t>
      </w:r>
      <w:r>
        <w:t xml:space="preserve">”</w:t>
      </w:r>
      <w:r>
        <w:t xml:space="preserve">裁员30%</w:t>
      </w:r>
      <w:r>
        <w:t xml:space="preserve">“</w:t>
      </w:r>
      <w:r>
        <w:t xml:space="preserve">、</w:t>
      </w:r>
      <w:r>
        <w:t xml:space="preserve">”</w:t>
      </w:r>
      <w:r>
        <w:t xml:space="preserve">扩编50人”等不同场景下的辖区方案，基于数据而非直觉做出决策。这种从”经验驱动”到”数据驱动”的转变，是制药企业精细化管理转型的核心诉求。</w:t>
      </w:r>
    </w:p>
    <w:p>
      <w:pPr>
        <w:pStyle w:val="BodyText"/>
      </w:pPr>
      <w:r>
        <w:t xml:space="preserve">需要指出的是，智能算法的引入并非要完全取代人的判断，而是要建立”人机协同”的决策机制。算法负责处理大规模数据计算和多目标优化，输出满足约束条件的近似最优方案；业务管理者则基于算法输出进行微调和最终决策，将无法量化的业务经验和人际因素纳入考量。这种”算法为主、人工为辅”的协同模式，既能发挥算法在计算效率和优化能力上的优势，又能保留人在复杂商业判断中的不可替代性。</w:t>
      </w:r>
    </w:p>
    <w:bookmarkEnd w:id="31"/>
    <w:bookmarkStart w:id="32" w:name="本章小结"/>
    <w:p>
      <w:pPr>
        <w:pStyle w:val="Heading2"/>
      </w:pPr>
      <w:r>
        <w:t xml:space="preserve">3.5 本章小结</w:t>
      </w:r>
    </w:p>
    <w:p>
      <w:pPr>
        <w:pStyle w:val="FirstParagraph"/>
      </w:pPr>
      <w:r>
        <w:t xml:space="preserve">本章从宏观政策环境、现行管理模式和核心痛点三个层面，系统诊断了制药企业SFE辖区管理的现状。</w:t>
      </w:r>
    </w:p>
    <w:p>
      <w:pPr>
        <w:pStyle w:val="BodyText"/>
      </w:pPr>
      <w:r>
        <w:t xml:space="preserve">在宏观层面，国家集采常态化、医保谈判机制化和医药反腐深水化三重政策压力的叠加，使得制药企业的组织架构调整更加频繁、辖区分配的维度更加复杂、精度要求更加严格。在管理模式层面，传统的手工分配模式存在响应滞后、分配不公、迭代能力不足等固有缺陷，而商业化SaaS系统在中国市场的落地则遭遇了业务规则非标准化、定制化成本过高、中国特色场景适配困难等”水土不服”问题。在痛点层面，区域分配不公与资源错配、响应滞后与数据支撑缺失、商业化系统的适配困难构成了当前辖区管理的三大核心痛点。</w:t>
      </w:r>
    </w:p>
    <w:p>
      <w:pPr>
        <w:pStyle w:val="BodyText"/>
      </w:pPr>
      <w:r>
        <w:t xml:space="preserve">上述分析表明，制药企业迫切需要一种轻量化、可配置、基于运筹优化算法的智能辖区分配解决方案。下一章将基于本章诊断的业务需求，构建融合综合价值指数、四层地理聚类、模拟退火优化和Hungarian匹配的两阶段智能辖区分配模型，从数学建模和算法设计的角度提出系统性的解决方案。</w:t>
      </w:r>
    </w:p>
    <w:p>
      <w:r>
        <w:pict>
          <v:rect style="width:0;height:1.5pt" o:hralign="center" o:hrstd="t" o:hr="t"/>
        </w:pict>
      </w:r>
    </w:p>
    <w:p>
      <w:pPr>
        <w:pStyle w:val="FirstParagraph"/>
      </w:pPr>
      <w:r>
        <w:rPr>
          <w:bCs/>
          <w:b/>
        </w:rPr>
        <w:t xml:space="preserve">参考文献</w:t>
      </w:r>
    </w:p>
    <w:p>
      <w:pPr>
        <w:pStyle w:val="BodyText"/>
      </w:pPr>
      <w:r>
        <w:t xml:space="preserve">[1] 国家医疗保障局. 国家组织药品集中采购政策文件汇编[Z]. 2018-2025.</w:t>
      </w:r>
    </w:p>
    <w:p>
      <w:pPr>
        <w:pStyle w:val="BodyText"/>
      </w:pPr>
      <w:r>
        <w:t xml:space="preserve">[2] 孙旭然. 生物医药行业发展趋势与机遇分析[J]. 中国国情国力, 2022(8): 25-29.</w:t>
      </w:r>
    </w:p>
    <w:p>
      <w:pPr>
        <w:pStyle w:val="BodyText"/>
      </w:pPr>
      <w:r>
        <w:t xml:space="preserve">[3] 国家医疗保障局. 国家医保药品目录调整工作方案[Z]. 2024.</w:t>
      </w:r>
    </w:p>
    <w:p>
      <w:pPr>
        <w:pStyle w:val="BodyText"/>
      </w:pPr>
      <w:r>
        <w:t xml:space="preserve">[4] 章梦晗. 反腐进入深水区后，医药行业的阵痛与突围[J]. 廉政瞭望, 2025(10): 48-51.</w:t>
      </w:r>
    </w:p>
    <w:p>
      <w:pPr>
        <w:pStyle w:val="BodyText"/>
      </w:pPr>
      <w:r>
        <w:t xml:space="preserve">[5] 王晓玲. 我国生物医药行业数字化转型瓶颈及应对建议[J]. 信息通信技术与政策, 2024, 50(3): 79-82.</w:t>
      </w:r>
    </w:p>
    <w:bookmarkEnd w:id="32"/>
    <w:bookmarkEnd w:id="33"/>
    <w:sectPr>
      <w:headerReference r:id="rId9" w:type="default"/>
      <w:pgSz w:h="16838" w:w="11906"/>
      <w:pgMar w:bottom="2268" w:footer="1701" w:header="1417" w:left="1587" w:right="1587" w:top="19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731"/>
      </w:tabs>
      <w:pBdr>
        <w:bottom w:val="single" w:sz="4" w:space="1" w:color="000000"/>
      </w:pBdr>
    </w:pPr>
    <w:r>
      <w:rPr>
        <w:rFonts w:ascii="宋体" w:hAnsi="宋体" w:eastAsia="宋体"/>
        <w:sz w:val="18"/>
      </w:rPr>
      <w:t>上海交通大学 MBA 学位论文</w:t>
    </w:r>
    <w:r>
      <w:tab/>
    </w:r>
    <w:r>
      <w:rPr>
        <w:rFonts w:ascii="宋体" w:hAnsi="宋体" w:eastAsia="宋体"/>
        <w:sz w:val="18"/>
      </w:rPr>
      <w:t>运筹算法在制药企业SFE辖区动态分配中的应用及商业化研究</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20"/>
    </w:pPr>
    <w:rPr>
      <w:rFonts w:ascii="Times New Roman" w:eastAsia="宋体" w:hAnsi="Times New Roman"/>
      <w:sz w:val="21"/>
    </w:rPr>
  </w:style>
  <w:style w:styleId="BodyText" w:type="paragraph">
    <w:name w:val="Body Text"/>
    <w:basedOn w:val="Normal"/>
    <w:link w:val="BodyTextChar"/>
    <w:pPr>
      <w:spacing w:after="180" w:before="180"/>
      <w:ind w:firstLine="420"/>
    </w:pPr>
    <w:qFormat/>
  </w:style>
  <w:style w:customStyle="1" w:styleId="FirstParagraph" w:type="paragraph">
    <w:name w:val="First Paragraph"/>
    <w:basedOn w:val="Normal"/>
    <w:next w:val="BodyText"/>
    <w:qFormat/>
    <w:pPr>
      <w:ind w:firstLine="42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spacing w:after="480" w:before="0" w:line="360" w:lineRule="auto"/>
      <w:ind w:firstLine="0"/>
      <w:jc w:val="center"/>
      <w:outlineLvl w:val="0"/>
    </w:pPr>
    <w:rPr>
      <w:rFonts w:ascii="Times New Roman" w:asciiTheme="majorHAnsi" w:cstheme="majorBidi" w:eastAsia="黑体" w:eastAsiaTheme="majorEastAsia" w:hAnsi="Times New Roman" w:hAnsiTheme="majorHAnsi"/>
      <w:b/>
      <w:bCs/>
      <w:sz w:val="32"/>
      <w:szCs w:val="32"/>
    </w:rPr>
  </w:style>
  <w:style w:styleId="Heading2" w:type="paragraph">
    <w:name w:val="Heading 2"/>
    <w:basedOn w:val="Normal"/>
    <w:next w:val="BodyText"/>
    <w:uiPriority w:val="9"/>
    <w:unhideWhenUsed/>
    <w:qFormat/>
    <w:pPr>
      <w:pageBreakBefore w:val="0"/>
      <w:spacing w:after="120" w:before="240" w:line="360" w:lineRule="auto"/>
      <w:ind w:firstLine="0"/>
      <w:jc w:val="left"/>
      <w:outlineLvl w:val="1"/>
    </w:pPr>
    <w:rPr>
      <w:rFonts w:ascii="Times New Roman" w:asciiTheme="majorHAnsi" w:cstheme="majorBidi" w:eastAsia="黑体" w:eastAsiaTheme="majorEastAsia" w:hAnsi="Times New Roman" w:hAnsiTheme="majorHAnsi"/>
      <w:b/>
      <w:bCs/>
      <w:sz w:val="28"/>
      <w:szCs w:val="28"/>
    </w:rPr>
  </w:style>
  <w:style w:styleId="Heading3" w:type="paragraph">
    <w:name w:val="Heading 3"/>
    <w:basedOn w:val="Normal"/>
    <w:next w:val="BodyText"/>
    <w:uiPriority w:val="9"/>
    <w:unhideWhenUsed/>
    <w:qFormat/>
    <w:pPr>
      <w:pageBreakBefore w:val="0"/>
      <w:spacing w:after="60" w:before="120" w:line="360" w:lineRule="auto"/>
      <w:ind w:firstLine="0"/>
      <w:jc w:val="left"/>
      <w:outlineLvl w:val="2"/>
    </w:pPr>
    <w:rPr>
      <w:rFonts w:ascii="Times New Roman" w:asciiTheme="majorHAnsi" w:cstheme="majorBidi" w:eastAsia="黑体"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2026-05-04T21:37:49Z</dcterms:created>
  <dcterms:modified xsi:type="dcterms:W3CDTF">2026-05-04T21:37:49Z</dcterms:modified>
</cp:coreProperties>
</file>

<file path=docProps/custom.xml><?xml version="1.0" encoding="utf-8"?>
<Properties xmlns="http://schemas.openxmlformats.org/officeDocument/2006/custom-properties" xmlns:vt="http://schemas.openxmlformats.org/officeDocument/2006/docPropsVTypes"/>
</file>