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69"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节聚焦企业内部实施与变革管理——人机协同决策机制的设计、组织阻力的应对策略、数据治理与系统集成的保障；6.2</w:t>
      </w:r>
      <w:r>
        <w:t xml:space="preserve"> </w:t>
      </w:r>
      <w:r>
        <w:rPr>
          <w:rFonts w:hint="eastAsia"/>
        </w:rPr>
        <w:t xml:space="preserve">节聚焦算法模型的商业价值与行业推广——对制药企业的降本增效价值、面向不同企业类型的差异化推广形态。两个层面共同回答”工具好之后怎么用、值多少”的核心商业命题。</w:t>
      </w:r>
    </w:p>
    <w:bookmarkStart w:id="168"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w:t>
      </w:r>
      <w:r>
        <w:rPr>
          <w:rFonts w:hint="eastAsia"/>
          <w:b/>
          <w:bCs/>
        </w:rPr>
        <w:t xml:space="preserve">它不应替代人类决策，而应作为”中心化基线”由人在回路（Human-in-the-Loop）做局部微调</w:t>
      </w:r>
      <w:r>
        <w:rPr>
          <w:rFonts w:hint="eastAsia"/>
        </w:rPr>
        <w:t xml:space="preserve">。这一原则源于第三章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b/>
          <w:bCs/>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b/>
          <w:bCs/>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b/>
          <w:bCs/>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w:t>
      </w:r>
      <w:r>
        <w:rPr>
          <w:rFonts w:hint="eastAsia"/>
          <w:b/>
          <w:bCs/>
        </w:rPr>
        <w:t xml:space="preserve">把决策逻辑显式化、让人类参与对话的协作平台</w:t>
      </w:r>
      <w:r>
        <w:rPr>
          <w:rFonts w:hint="eastAsia"/>
        </w:rPr>
        <w:t xml:space="preserve">——这正是开题报告所期望的”从’经验驱动的人治’向’数据驱动的智治’跨越”的具体落地形态。</w:t>
      </w:r>
    </w:p>
    <w:bookmarkEnd w:id="165"/>
    <w:bookmarkStart w:id="166" w:name="克服组织阻力的变革管理策略"/>
    <w:p>
      <w:pPr>
        <w:pStyle w:val="Heading3"/>
      </w:pPr>
      <w:r>
        <w:t xml:space="preserve">6.1.2 </w:t>
      </w:r>
      <w:r>
        <w:rPr>
          <w:rFonts w:hint="eastAsia"/>
        </w:rPr>
        <w:t xml:space="preserve">克服组织阻力的变革管理策略</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一线代表与中层管理者真正接受算法”的组织层面问题。算法引入项目失败的最大风险通常不在技术——本研究第五章的实证已经表明算法本身可以稳定输出业务可接受的方案——而在于组织。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w:t>
      </w:r>
      <w:r>
        <w:rPr>
          <w:rFonts w:hint="eastAsia"/>
          <w:b/>
          <w:bCs/>
        </w:rPr>
        <w:t xml:space="preserve">按企业</w:t>
      </w:r>
      <w:r>
        <w:rPr>
          <w:b/>
          <w:bCs/>
        </w:rPr>
        <w:t xml:space="preserve"> As-Is </w:t>
      </w:r>
      <w:r>
        <w:rPr>
          <w:rFonts w:hint="eastAsia"/>
          <w:b/>
          <w:bCs/>
        </w:rPr>
        <w:t xml:space="preserve">失衡度分层设计部署节奏</w:t>
      </w:r>
      <w:r>
        <w:rPr>
          <w:rFonts w:hint="eastAsia"/>
        </w:rPr>
        <w:t xml:space="preserve">的核心思路，并配套相应的过渡机制。</w:t>
      </w:r>
    </w:p>
    <w:p>
      <w:pPr>
        <w:pStyle w:val="BodyText"/>
      </w:pPr>
      <w:r>
        <w:rPr>
          <w:rFonts w:hint="eastAsia"/>
          <w:b/>
          <w:bCs/>
        </w:rPr>
        <w:t xml:space="preserve">部署节奏的客观依据来自第五章</w:t>
      </w:r>
      <w:r>
        <w:rPr>
          <w:b/>
          <w:bCs/>
        </w:rPr>
        <w:t xml:space="preserve"> 5.3.4 </w:t>
      </w:r>
      <w:r>
        <w:rPr>
          <w:rFonts w:hint="eastAsia"/>
          <w:b/>
          <w:bCs/>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w:t>
      </w:r>
      <w:r>
        <w:rPr>
          <w:rFonts w:hint="eastAsia"/>
          <w:b/>
          <w:bCs/>
        </w:rPr>
        <w:t xml:space="preserve">根据这一客观规律为不同失衡度的省份配置不同强度的过渡机制</w:t>
      </w:r>
      <w:r>
        <w:rPr>
          <w:rFonts w:hint="eastAsia"/>
        </w:rPr>
        <w:t xml:space="preserve">，避免一刀切。</w:t>
      </w:r>
    </w:p>
    <w:p>
      <w:pPr>
        <w:pStyle w:val="BodyText"/>
      </w:pPr>
      <w:r>
        <w:rPr>
          <w:rFonts w:hint="eastAsia"/>
        </w:rPr>
        <w:t xml:space="preserve">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b/>
          <w:bCs/>
        </w:rPr>
        <w:t xml:space="preserve">阻力的三个主要来源各有对策。</w:t>
      </w:r>
      <w:r>
        <w:t xml:space="preserve"> </w:t>
      </w:r>
      <w:r>
        <w:rPr>
          <w:rFonts w:hint="eastAsia"/>
        </w:rPr>
        <w:t xml:space="preserve">第一类是销售团队的阻力，核心担忧是客户关系断裂以及短期业绩下降影响奖金——根据第三章</w:t>
      </w:r>
      <w:r>
        <w:t xml:space="preserve"> 3.1.2 </w:t>
      </w:r>
      <w:r>
        <w:rPr>
          <w:rFonts w:hint="eastAsia"/>
        </w:rPr>
        <w:t xml:space="preserve">节的业务经验，调整后</w:t>
      </w:r>
      <w:r>
        <w:t xml:space="preserve"> 3-6 </w:t>
      </w:r>
      <w:r>
        <w:rPr>
          <w:rFonts w:hint="eastAsia"/>
        </w:rPr>
        <w:t xml:space="preserve">个月业绩下降</w:t>
      </w:r>
      <w:r>
        <w:t xml:space="preserve"> 8%-15% </w:t>
      </w:r>
      <w:r>
        <w:rPr>
          <w:rFonts w:hint="eastAsia"/>
        </w:rPr>
        <w:t xml:space="preserve">是行业典型水平。对此的标准对策包括三项：变更前</w:t>
      </w:r>
      <w:r>
        <w:t xml:space="preserve"> 30 </w:t>
      </w:r>
      <w:r>
        <w:rPr>
          <w:rFonts w:hint="eastAsia"/>
        </w:rPr>
        <w:t xml:space="preserve">天书面通知，让代表有充足时间安排客户交接；老代表与新代表</w:t>
      </w:r>
      <w:r>
        <w:t xml:space="preserve"> 1-2 </w:t>
      </w:r>
      <w:r>
        <w:rPr>
          <w:rFonts w:hint="eastAsia"/>
        </w:rPr>
        <w:t xml:space="preserve">个月的陪访期，确保关键客户关系平滑过渡；1-2</w:t>
      </w:r>
      <w:r>
        <w:t xml:space="preserve"> </w:t>
      </w:r>
      <w:r>
        <w:rPr>
          <w:rFonts w:hint="eastAsia"/>
        </w:rPr>
        <w:t xml:space="preserve">个季度的绩效考核保护带，把短期业绩波动从奖金考核中剥离。这三项动作叠加起来基本可以把销售团队的阻力转化为可管理的过渡期问题。第五章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的短期业绩波动；通过</w:t>
      </w:r>
      <w:r>
        <w:t xml:space="preserve"> Hungarian </w:t>
      </w:r>
      <w:r>
        <w:rPr>
          <w:rFonts w:hint="eastAsia"/>
        </w:rPr>
        <w:t xml:space="preserve">抓大放小的差异化保护机制，相对纯人工方案预计可减少</w:t>
      </w:r>
      <w:r>
        <w:t xml:space="preserve"> 50% </w:t>
      </w:r>
      <w:r>
        <w:rPr>
          <w:rFonts w:hint="eastAsia"/>
        </w:rPr>
        <w:t xml:space="preserve">以上的客户关系变动量。</w:t>
      </w:r>
    </w:p>
    <w:p>
      <w:pPr>
        <w:pStyle w:val="BodyText"/>
      </w:pPr>
      <w:r>
        <w:rPr>
          <w:rFonts w:hint="eastAsia"/>
        </w:rPr>
        <w:t xml:space="preserve">第二类是中层管理者的阻力，核心心理是权力转移焦虑（</w:t>
      </w:r>
      <w:r>
        <w:rPr>
          <w:rFonts w:hint="eastAsia"/>
        </w:rPr>
        <w:t xml:space="preserve">“以前我说了算，现在算法说了算”</w:t>
      </w:r>
      <w:r>
        <w:rPr>
          <w:rFonts w:hint="eastAsia"/>
        </w:rPr>
        <w:t xml:space="preserve">）以及历史决策被算法挑战时的面子压力。这类阻力如果用”全自动化”的方式硬推会激化矛盾——管理者会从内心抵触算法。本研究主张通过</w:t>
      </w:r>
      <w:r>
        <w:t xml:space="preserve"> 6.1.1 </w:t>
      </w:r>
      <w:r>
        <w:rPr>
          <w:rFonts w:hint="eastAsia"/>
        </w:rPr>
        <w:t xml:space="preserve">节的人机协同机制反向化解：保留管理者对算法约束参数的配置权（拆分阈值、销量潜力权重、城市数上限等业务策略型参数仍由企业按偏好设定）以及对特定医院的强制干预权（锁定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节调研结论一致——业务侧</w:t>
      </w:r>
      <w:r>
        <w:t xml:space="preserve"> 67%/58% </w:t>
      </w:r>
      <w:r>
        <w:rPr>
          <w:rFonts w:hint="eastAsia"/>
        </w:rPr>
        <w:t xml:space="preserve">偏好”客户保留率/紧凑度优于绝对均衡”、83%</w:t>
      </w:r>
      <w:r>
        <w:t xml:space="preserve"> </w:t>
      </w:r>
      <w:r>
        <w:rPr>
          <w:rFonts w:hint="eastAsia"/>
        </w:rPr>
        <w:t xml:space="preserve">偏好”算法+人工调整”，本质上都在表达”我们要保留对关键节点的最终决定权”。</w:t>
      </w:r>
    </w:p>
    <w:p>
      <w:pPr>
        <w:pStyle w:val="BodyText"/>
      </w:pPr>
      <w:r>
        <w:rPr>
          <w:rFonts w:hint="eastAsia"/>
        </w:rPr>
        <w:t xml:space="preserve">第三类是与现有业务流程的衔接阻力。SFE</w:t>
      </w:r>
      <w:r>
        <w:t xml:space="preserve"> </w:t>
      </w:r>
      <w:r>
        <w:rPr>
          <w:rFonts w:hint="eastAsia"/>
        </w:rPr>
        <w:t xml:space="preserve">团队的辖区调整往往与销售季度规划、半年度业务回顾、年度战略规划等多个流程节奏耦合。算法引入后如果不与这些既有节奏对齐，会产生”算法跑了但业务不接”的尴尬。对策是把算法重大重组与现有规划周期对齐——年度全国级辖区重排放在</w:t>
      </w:r>
      <w:r>
        <w:t xml:space="preserve"> Q4 </w:t>
      </w:r>
      <w:r>
        <w:rPr>
          <w:rFonts w:hint="eastAsia"/>
        </w:rPr>
        <w:t xml:space="preserve">战略规划期，季度局部调整跟随季度业务回顾，避免在销售旺季（通常</w:t>
      </w:r>
      <w:r>
        <w:t xml:space="preserve"> Q3 </w:t>
      </w:r>
      <w:r>
        <w:rPr>
          <w:rFonts w:hint="eastAsia"/>
        </w:rPr>
        <w:t xml:space="preserve">或新药刚上市的窗口期）强行切换。中等以下规模的微调则可以借助</w:t>
      </w:r>
      <w:r>
        <w:t xml:space="preserve"> 5.4 </w:t>
      </w:r>
      <w:r>
        <w:rPr>
          <w:rFonts w:hint="eastAsia"/>
        </w:rPr>
        <w:t xml:space="preserve">节算法秒级响应的优势在任何时点快速跑出方案，不再受人工</w:t>
      </w:r>
      <w:r>
        <w:t xml:space="preserve"> 4-8 </w:t>
      </w:r>
      <w:r>
        <w:rPr>
          <w:rFonts w:hint="eastAsia"/>
        </w:rPr>
        <w:t xml:space="preserve">周周期的限制。</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的分层节奏背后体现的是一个朴素判断：</w:t>
      </w:r>
      <w:r>
        <w:rPr>
          <w:rFonts w:hint="eastAsia"/>
          <w:b/>
          <w:bCs/>
        </w:rPr>
        <w:t xml:space="preserve">算法的成功不止技术成功，更是组织变革成功</w:t>
      </w:r>
      <w:r>
        <w:rPr>
          <w:rFonts w:hint="eastAsia"/>
        </w:rPr>
        <w:t xml:space="preserve">——这一判断也将在</w:t>
      </w:r>
      <w:r>
        <w:t xml:space="preserve"> 6.1.3 </w:t>
      </w:r>
      <w:r>
        <w:rPr>
          <w:rFonts w:hint="eastAsia"/>
        </w:rPr>
        <w:t xml:space="preserve">节的数据治理与</w:t>
      </w:r>
      <w:r>
        <w:t xml:space="preserve"> 6.2 </w:t>
      </w:r>
      <w:r>
        <w:rPr>
          <w:rFonts w:hint="eastAsia"/>
        </w:rPr>
        <w:t xml:space="preserve">节的商业价值评估中持续显现。</w:t>
      </w:r>
    </w:p>
    <w:bookmarkEnd w:id="166"/>
    <w:bookmarkStart w:id="167" w:name="数据治理与系统集成保障"/>
    <w:p>
      <w:pPr>
        <w:pStyle w:val="Heading3"/>
      </w:pPr>
      <w:r>
        <w:t xml:space="preserve">6.1.3 </w:t>
      </w:r>
      <w:r>
        <w:rPr>
          <w:rFonts w:hint="eastAsia"/>
        </w:rPr>
        <w:t xml:space="preserve">数据治理与系统集成保障</w:t>
      </w:r>
    </w:p>
    <w:p>
      <w:pPr>
        <w:pStyle w:val="FirstParagraph"/>
      </w:pPr>
      <w:r>
        <w:rPr>
          <w:rFonts w:hint="eastAsia"/>
        </w:rPr>
        <w:t xml:space="preserve">如果说</w:t>
      </w:r>
      <w:r>
        <w:t xml:space="preserve"> 6.1.1 </w:t>
      </w:r>
      <w:r>
        <w:rPr>
          <w:rFonts w:hint="eastAsia"/>
        </w:rPr>
        <w:t xml:space="preserve">节解决工具层面的人机对话、6.1.2</w:t>
      </w:r>
      <w:r>
        <w:t xml:space="preserve"> </w:t>
      </w:r>
      <w:r>
        <w:rPr>
          <w:rFonts w:hint="eastAsia"/>
        </w:rPr>
        <w:t xml:space="preserve">节解决组织层面的变革节奏，那么本节解决的是底层基础设施层面的”算法跑得稳、跑得久”的问题。算法是数据驱动的——数据治理质量决定算法输出可靠性，系统集成深度决定算法能否日常化运行。第一章</w:t>
      </w:r>
      <w:r>
        <w:t xml:space="preserve"> 1.1.2 </w:t>
      </w:r>
      <w:r>
        <w:rPr>
          <w:rFonts w:hint="eastAsia"/>
        </w:rPr>
        <w:t xml:space="preserve">节”数据丰富、算法贫乏”的判断揭示了一个普遍困境：多数制药企业并不缺数据，缺的是把碎片化数据组织成算法可消费形态的治理能力。本节从数据治理、系统集成、权限分级三个维度给出企业级落地的具体保障要求。</w:t>
      </w:r>
    </w:p>
    <w:p>
      <w:pPr>
        <w:pStyle w:val="BodyText"/>
      </w:pPr>
      <w:r>
        <w:rPr>
          <w:rFonts w:hint="eastAsia"/>
          <w:b/>
          <w:bCs/>
        </w:rPr>
        <w:t xml:space="preserve">数据治理的三类对象与对应要求。</w:t>
      </w:r>
      <w:r>
        <w:t xml:space="preserve"> </w:t>
      </w:r>
      <w:r>
        <w:rPr>
          <w:rFonts w:hint="eastAsia"/>
        </w:rPr>
        <w:t xml:space="preserve">第四章</w:t>
      </w:r>
      <w:r>
        <w:t xml:space="preserve"> 4.2.1 </w:t>
      </w:r>
      <w:r>
        <w:rPr>
          <w:rFonts w:hint="eastAsia"/>
        </w:rPr>
        <w:t xml:space="preserve">节已经明确算法所需的多源数据可分为三类，每类在治理上的关注点各有侧重。第一类是</w:t>
      </w:r>
      <w:r>
        <w:t xml:space="preserve"> HCO </w:t>
      </w:r>
      <w:r>
        <w:rPr>
          <w:rFonts w:hint="eastAsia"/>
        </w:rPr>
        <w:t xml:space="preserve">主数据，包含医院的</w:t>
      </w:r>
      <w:r>
        <w:t xml:space="preserve"> </w:t>
      </w:r>
      <w:r>
        <w:rPr>
          <w:rFonts w:hint="eastAsia"/>
        </w:rPr>
        <w:t xml:space="preserve">inscode、名称、等级、详细地址与经纬度。这类数据更新频率低但质量直接影响地理聚类与距离计算——治理重点是</w:t>
      </w:r>
      <w:r>
        <w:t xml:space="preserve"> inscode </w:t>
      </w:r>
      <w:r>
        <w:rPr>
          <w:rFonts w:hint="eastAsia"/>
        </w:rPr>
        <w:t xml:space="preserve">唯一性、地理坐标准确性（新进医院需人工校核坐标，避免出现经纬度为零或落在境外的脏数据）以及医院级别变更的触发机制（医院升降级需要在主数据中及时反映）。第二类是业务数据，包含每家医院在特定产品组下的销售额、销量、市场潜力等业务指标，月度或季度更新——治理重点是与</w:t>
      </w:r>
      <w:r>
        <w:t xml:space="preserve"> CRM/SFA </w:t>
      </w:r>
      <w:r>
        <w:rPr>
          <w:rFonts w:hint="eastAsia"/>
        </w:rPr>
        <w:t xml:space="preserve">系统的月度刷新通道、字段映射规则的稳定性、缺失值的处理标准（如某月销量为</w:t>
      </w:r>
      <w:r>
        <w:t xml:space="preserve"> 0 </w:t>
      </w:r>
      <w:r>
        <w:rPr>
          <w:rFonts w:hint="eastAsia"/>
        </w:rPr>
        <w:t xml:space="preserve">是真实零销量还是数据未到位需要明确区分）。第三类是历史分配数据，每次算法运行后的</w:t>
      </w:r>
      <w:r>
        <w:t xml:space="preserve"> To-Be </w:t>
      </w:r>
      <w:r>
        <w:rPr>
          <w:rFonts w:hint="eastAsia"/>
        </w:rPr>
        <w:t xml:space="preserve">方案需要回写归档形成下一轮的”历史”——治理重点是版本管理（每次算法运行的输入、参数、输出三元组留痕）以及业务确认状态的标记（哪些方案已经过</w:t>
      </w:r>
      <w:r>
        <w:t xml:space="preserve"> 6.1.1 </w:t>
      </w:r>
      <w:r>
        <w:rPr>
          <w:rFonts w:hint="eastAsia"/>
        </w:rPr>
        <w:t xml:space="preserve">节人机协同确认、哪些只是中间草稿）。</w:t>
      </w:r>
    </w:p>
    <w:p>
      <w:pPr>
        <w:pStyle w:val="BodyText"/>
      </w:pPr>
      <w:r>
        <w:rPr>
          <w:rFonts w:hint="eastAsia"/>
          <w:b/>
          <w:bCs/>
        </w:rPr>
        <w:t xml:space="preserve">算法运行审计是合规与可复现性的制度化承接。</w:t>
      </w:r>
      <w:r>
        <w:t xml:space="preserve"> </w:t>
      </w:r>
      <w:r>
        <w:rPr>
          <w:rFonts w:hint="eastAsia"/>
        </w:rPr>
        <w:t xml:space="preserve">第五章</w:t>
      </w:r>
      <w:r>
        <w:t xml:space="preserve"> 5.4.2 </w:t>
      </w:r>
      <w:r>
        <w:rPr>
          <w:rFonts w:hint="eastAsia"/>
        </w:rPr>
        <w:t xml:space="preserve">节的稀疏场景敏感性扫描已经揭示——SA</w:t>
      </w:r>
      <w:r>
        <w:t xml:space="preserve"> </w:t>
      </w:r>
      <w:r>
        <w:rPr>
          <w:rFonts w:hint="eastAsia"/>
        </w:rPr>
        <w:t xml:space="preserve">算法存在固有随机性，相同样本不同启动可能收敛到不同的局部最优。这一现象在工程上有两个含义：一是稀疏场景需要多次启动取最优作为生产实践，二是每次算法运行的输入参数、算法版本、输出方案必须可追溯可复现，否则一旦后续业务侧对某个分配决策提出异议，将无法回放当时的决策依据。具体到留痕要求：算法版本（commit</w:t>
      </w:r>
      <w:r>
        <w:t xml:space="preserve"> hash </w:t>
      </w:r>
      <w:r>
        <w:rPr>
          <w:rFonts w:hint="eastAsia"/>
        </w:rPr>
        <w:t xml:space="preserve">或</w:t>
      </w:r>
      <w:r>
        <w:t xml:space="preserve"> release </w:t>
      </w:r>
      <w:r>
        <w:rPr>
          <w:rFonts w:hint="eastAsia"/>
        </w:rPr>
        <w:t xml:space="preserve">tag）、SA</w:t>
      </w:r>
      <w:r>
        <w:t xml:space="preserve"> </w:t>
      </w:r>
      <w:r>
        <w:rPr>
          <w:rFonts w:hint="eastAsia"/>
        </w:rPr>
        <w:t xml:space="preserve">迭代次数、拆分阈值、权重参数等所有可调项必须随输出方案一同归档，时间戳与执行人也必须记录。这套审计机制对应</w:t>
      </w:r>
      <w:r>
        <w:t xml:space="preserve"> 5.1.2 </w:t>
      </w:r>
      <w:r>
        <w:rPr>
          <w:rFonts w:hint="eastAsia"/>
        </w:rPr>
        <w:t xml:space="preserve">节正文里的”实证基于</w:t>
      </w:r>
      <w:r>
        <w:t xml:space="preserve"> commit cbc1a756 </w:t>
      </w:r>
      <w:r>
        <w:rPr>
          <w:rFonts w:hint="eastAsia"/>
        </w:rPr>
        <w:t xml:space="preserve">版本”的版本声明思路——把”哪个算法在哪次跑出了哪个方案”作为可审计事实保留下来。</w:t>
      </w:r>
    </w:p>
    <w:p>
      <w:pPr>
        <w:pStyle w:val="BodyText"/>
      </w:pPr>
      <w:r>
        <w:rPr>
          <w:rFonts w:hint="eastAsia"/>
          <w:b/>
          <w:bCs/>
        </w:rPr>
        <w:t xml:space="preserve">系统集成可按企业算法成熟度分三个层次渐进推进。</w:t>
      </w:r>
      <w:r>
        <w:t xml:space="preserve"> </w:t>
      </w:r>
      <w:r>
        <w:rPr>
          <w:rFonts w:hint="eastAsia"/>
        </w:rPr>
        <w:t xml:space="preserve">在算法试点期，最简单的形态是</w:t>
      </w:r>
      <w:r>
        <w:rPr>
          <w:rFonts w:hint="eastAsia"/>
          <w:b/>
          <w:bCs/>
        </w:rPr>
        <w:t xml:space="preserve">轻量集成</w:t>
      </w:r>
      <w:r>
        <w:rPr>
          <w:rFonts w:hint="eastAsia"/>
        </w:rPr>
        <w:t xml:space="preserve">——算法独立运行，输入由</w:t>
      </w:r>
      <w:r>
        <w:t xml:space="preserve"> SFE </w:t>
      </w:r>
      <w:r>
        <w:rPr>
          <w:rFonts w:hint="eastAsia"/>
        </w:rPr>
        <w:t xml:space="preserve">团队从</w:t>
      </w:r>
      <w:r>
        <w:t xml:space="preserve"> CRM </w:t>
      </w:r>
      <w:r>
        <w:rPr>
          <w:rFonts w:hint="eastAsia"/>
        </w:rPr>
        <w:t xml:space="preserve">导出</w:t>
      </w:r>
      <w:r>
        <w:t xml:space="preserve"> Excel </w:t>
      </w:r>
      <w:r>
        <w:rPr>
          <w:rFonts w:hint="eastAsia"/>
        </w:rPr>
        <w:t xml:space="preserve">提供给算法，输出</w:t>
      </w:r>
      <w:r>
        <w:t xml:space="preserve"> Excel </w:t>
      </w:r>
      <w:r>
        <w:rPr>
          <w:rFonts w:hint="eastAsia"/>
        </w:rPr>
        <w:t xml:space="preserve">给业务侧手动导入</w:t>
      </w:r>
      <w:r>
        <w:t xml:space="preserve"> </w:t>
      </w:r>
      <w:r>
        <w:rPr>
          <w:rFonts w:hint="eastAsia"/>
        </w:rPr>
        <w:t xml:space="preserve">SFA。这种形态的优点是部署门槛极低、对企业</w:t>
      </w:r>
      <w:r>
        <w:t xml:space="preserve"> IT </w:t>
      </w:r>
      <w:r>
        <w:rPr>
          <w:rFonts w:hint="eastAsia"/>
        </w:rPr>
        <w:t xml:space="preserve">系统零改造；缺点是依赖人工搬运数据，无法支撑高频迭代。当算法验证有效进入稳定运行期，可升级为</w:t>
      </w:r>
      <w:r>
        <w:rPr>
          <w:rFonts w:hint="eastAsia"/>
          <w:b/>
          <w:bCs/>
        </w:rPr>
        <w:t xml:space="preserve">中度集成</w:t>
      </w:r>
      <w:r>
        <w:rPr>
          <w:rFonts w:hint="eastAsia"/>
        </w:rPr>
        <w:t xml:space="preserve">——算法直接读取</w:t>
      </w:r>
      <w:r>
        <w:t xml:space="preserve"> CRM </w:t>
      </w:r>
      <w:r>
        <w:rPr>
          <w:rFonts w:hint="eastAsia"/>
        </w:rPr>
        <w:t xml:space="preserve">主数据、写回</w:t>
      </w:r>
      <w:r>
        <w:t xml:space="preserve"> SFA </w:t>
      </w:r>
      <w:r>
        <w:rPr>
          <w:rFonts w:hint="eastAsia"/>
        </w:rPr>
        <w:t xml:space="preserve">分配，但触发动作仍由</w:t>
      </w:r>
      <w:r>
        <w:t xml:space="preserve"> SFE </w:t>
      </w:r>
      <w:r>
        <w:rPr>
          <w:rFonts w:hint="eastAsia"/>
        </w:rPr>
        <w:t xml:space="preserve">团队手动发起。这种形态消除了人工搬数据的环节，每次算法运行可在数分钟内完成全链路。当算法成为企业</w:t>
      </w:r>
      <w:r>
        <w:t xml:space="preserve"> SFE </w:t>
      </w:r>
      <w:r>
        <w:rPr>
          <w:rFonts w:hint="eastAsia"/>
        </w:rPr>
        <w:t xml:space="preserve">工作流的固定环节后，可进一步升级为</w:t>
      </w:r>
      <w:r>
        <w:rPr>
          <w:rFonts w:hint="eastAsia"/>
          <w:b/>
          <w:bCs/>
        </w:rPr>
        <w:t xml:space="preserve">深度集成</w:t>
      </w:r>
      <w:r>
        <w:rPr>
          <w:rFonts w:hint="eastAsia"/>
        </w:rPr>
        <w:t xml:space="preserve">——把算法嵌入业务系统</w:t>
      </w:r>
      <w:r>
        <w:t xml:space="preserve"> </w:t>
      </w:r>
      <w:r>
        <w:rPr>
          <w:rFonts w:hint="eastAsia"/>
        </w:rPr>
        <w:t xml:space="preserve">dashboard，业务侧的大区经理直接在</w:t>
      </w:r>
      <w:r>
        <w:t xml:space="preserve"> SFA </w:t>
      </w:r>
      <w:r>
        <w:rPr>
          <w:rFonts w:hint="eastAsia"/>
        </w:rPr>
        <w:t xml:space="preserve">内一键触发算法、即时看结果、即时做微调，6.1.1</w:t>
      </w:r>
      <w:r>
        <w:t xml:space="preserve"> </w:t>
      </w:r>
      <w:r>
        <w:rPr>
          <w:rFonts w:hint="eastAsia"/>
        </w:rPr>
        <w:t xml:space="preserve">节描述的三阶段人机协同也因此得以在统一界面内完成。这三个层次对应不同的部署成熟度，企业可按自身基础设施条件渐进推进，无需一次性追求最深集成。</w:t>
      </w:r>
    </w:p>
    <w:p>
      <w:pPr>
        <w:pStyle w:val="BodyText"/>
      </w:pPr>
      <w:r>
        <w:rPr>
          <w:rFonts w:hint="eastAsia"/>
          <w:b/>
          <w:bCs/>
        </w:rPr>
        <w:t xml:space="preserve">算法权限分级是数据治理与组织治理的交汇点。</w:t>
      </w:r>
      <w:r>
        <w:t xml:space="preserve"> </w:t>
      </w:r>
      <w:r>
        <w:rPr>
          <w:rFonts w:hint="eastAsia"/>
        </w:rPr>
        <w:t xml:space="preserve">算法的可调项一旦完全开放给所有用户，会出现</w:t>
      </w:r>
      <w:r>
        <w:t xml:space="preserve"> 5.4.2 </w:t>
      </w:r>
      <w:r>
        <w:rPr>
          <w:rFonts w:hint="eastAsia"/>
        </w:rPr>
        <w:t xml:space="preserve">节业务策略型参数被随意修改导致输出方案失去对比基础的风险。本研究建议算法操作权限按层级分级：中央</w:t>
      </w:r>
      <w:r>
        <w:t xml:space="preserve"> SFE </w:t>
      </w:r>
      <w:r>
        <w:rPr>
          <w:rFonts w:hint="eastAsia"/>
        </w:rPr>
        <w:t xml:space="preserve">团队拥有完整的参数配置权与全国范围跑算法权限，是算法基线的唯一发布者；大区经理拥有本大区参数微调权与对特定医院施加锁定</w:t>
      </w:r>
      <w:r>
        <w:t xml:space="preserve"> / </w:t>
      </w:r>
      <w:r>
        <w:rPr>
          <w:rFonts w:hint="eastAsia"/>
        </w:rPr>
        <w:t xml:space="preserve">虚拟拆分</w:t>
      </w:r>
      <w:r>
        <w:t xml:space="preserve"> / </w:t>
      </w:r>
      <w:r>
        <w:rPr>
          <w:rFonts w:hint="eastAsia"/>
        </w:rPr>
        <w:t xml:space="preserve">区域排他约束的权限——这恰是</w:t>
      </w:r>
      <w:r>
        <w:t xml:space="preserve"> 6.1.1 </w:t>
      </w:r>
      <w:r>
        <w:rPr>
          <w:rFonts w:hint="eastAsia"/>
        </w:rPr>
        <w:t xml:space="preserve">节人机协同第二阶段的人在回路操作权；地区经理与一线代表则只有只读权限与异常上报通道，无法直接修改算法输出。这一权限模型与</w:t>
      </w:r>
      <w:r>
        <w:t xml:space="preserve"> 6.1.2 </w:t>
      </w:r>
      <w:r>
        <w:rPr>
          <w:rFonts w:hint="eastAsia"/>
        </w:rPr>
        <w:t xml:space="preserve">节”保留中层管理者对算法约束参数的配置权”的对策一脉相承——在赋予业务侧足够的干预空间的同时，避免决策权下沉过度导致的失控。</w:t>
      </w:r>
    </w:p>
    <w:bookmarkEnd w:id="167"/>
    <w:bookmarkEnd w:id="168"/>
    <w:bookmarkEnd w:id="169"/>
    <w:bookmarkStart w:id="179"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0"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0"/>
    <w:bookmarkStart w:id="177" w:name="a.2-问卷量化题目"/>
    <w:p>
      <w:pPr>
        <w:pStyle w:val="Heading2"/>
      </w:pPr>
      <w:r>
        <w:t xml:space="preserve">A.2 </w:t>
      </w:r>
      <w:r>
        <w:rPr>
          <w:rFonts w:hint="eastAsia"/>
        </w:rPr>
        <w:t xml:space="preserve">问卷量化题目</w:t>
      </w:r>
    </w:p>
    <w:bookmarkStart w:id="171"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1"/>
    <w:bookmarkStart w:id="172"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2"/>
    <w:bookmarkStart w:id="173"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73"/>
    <w:bookmarkStart w:id="174"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74"/>
    <w:bookmarkStart w:id="175"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5"/>
    <w:bookmarkStart w:id="176"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6"/>
    <w:bookmarkEnd w:id="177"/>
    <w:bookmarkStart w:id="178"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8"/>
    <w:bookmarkEnd w:id="179"/>
    <w:bookmarkStart w:id="214" w:name="参考文献"/>
    <w:p>
      <w:pPr>
        <w:pStyle w:val="Heading1"/>
      </w:pPr>
      <w:r>
        <w:rPr>
          <w:rFonts w:hint="eastAsia"/>
        </w:rPr>
        <w:t xml:space="preserve">参考文献</w:t>
      </w:r>
    </w:p>
    <w:bookmarkStart w:id="213" w:name="refs"/>
    <w:bookmarkStart w:id="181"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0">
        <w:r>
          <w:rPr>
            <w:rStyle w:val="Hyperlink"/>
          </w:rPr>
          <w:t xml:space="preserve">10.16418/j.issn.1000-3045.20241111006</w:t>
        </w:r>
      </w:hyperlink>
      <w:r>
        <w:t xml:space="preserve">.</w:t>
      </w:r>
    </w:p>
    <w:bookmarkEnd w:id="181"/>
    <w:bookmarkStart w:id="182"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2"/>
    <w:bookmarkStart w:id="183"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83"/>
    <w:bookmarkStart w:id="184" w:name="ref-iqvia2025mpchina"/>
    <w:p>
      <w:pPr>
        <w:pStyle w:val="Bibliography"/>
      </w:pPr>
      <w:r>
        <w:t xml:space="preserve">[4] IQVIA INSTITUTE. Market Prognosis 2025-2029: China[R]. IQVIA, 2025.</w:t>
      </w:r>
    </w:p>
    <w:bookmarkEnd w:id="184"/>
    <w:bookmarkStart w:id="185"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5"/>
    <w:bookmarkStart w:id="186"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6"/>
    <w:bookmarkStart w:id="187"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7"/>
    <w:bookmarkStart w:id="188"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8"/>
    <w:bookmarkStart w:id="189"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9"/>
    <w:bookmarkStart w:id="190"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0"/>
    <w:bookmarkStart w:id="191" w:name="ref-hess1971"/>
    <w:p>
      <w:pPr>
        <w:pStyle w:val="Bibliography"/>
      </w:pPr>
      <w:r>
        <w:t xml:space="preserve">[11] HESS S W, SAMUELS S A. Experiences with a sales districting model: Criteria and implementation[J]. Management Science, 1971, 18(4): 41-54.</w:t>
      </w:r>
    </w:p>
    <w:bookmarkEnd w:id="191"/>
    <w:bookmarkStart w:id="192" w:name="ref-zoltners1983"/>
    <w:p>
      <w:pPr>
        <w:pStyle w:val="Bibliography"/>
      </w:pPr>
      <w:r>
        <w:t xml:space="preserve">[12] ZOLTNERS A A, SINHA P. Sales territory alignment: A review and model[J]. Management Science, 1983, 29(11): 1237-1256.</w:t>
      </w:r>
    </w:p>
    <w:bookmarkEnd w:id="192"/>
    <w:bookmarkStart w:id="193"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93"/>
    <w:bookmarkStart w:id="194" w:name="ref-zoltners2000"/>
    <w:p>
      <w:pPr>
        <w:pStyle w:val="Bibliography"/>
      </w:pPr>
      <w:r>
        <w:t xml:space="preserve">[14] ZOLTNERS A A, LORIMER S E. Sales territory alignment: An overlooked productivity tool[J]. Journal of Personal Selling &amp; Sales Management, 2000, 20(3): 139-150.</w:t>
      </w:r>
    </w:p>
    <w:bookmarkEnd w:id="194"/>
    <w:bookmarkStart w:id="195" w:name="ref-zs2016"/>
    <w:p>
      <w:pPr>
        <w:pStyle w:val="Bibliography"/>
      </w:pPr>
      <w:r>
        <w:t xml:space="preserve">[15] ZS ASSOCIATES. Study: Sales force effectiveness initiatives in medtech industry can boost performance up to 8 percent[Z]. PR Newswire, 2016.</w:t>
      </w:r>
    </w:p>
    <w:bookmarkEnd w:id="195"/>
    <w:bookmarkStart w:id="196"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6"/>
    <w:bookmarkStart w:id="197" w:name="ref-kalcsics2005"/>
    <w:p>
      <w:pPr>
        <w:pStyle w:val="Bibliography"/>
      </w:pPr>
      <w:r>
        <w:t xml:space="preserve">[17] KALCSICS J, NICKEL S, SCHRÖDER M. Towards a unified territory design approach – Applications, algorithms and GIS integration: 71[R]. Berichte des Fraunhofer ITWM, 2005.</w:t>
      </w:r>
    </w:p>
    <w:bookmarkEnd w:id="197"/>
    <w:bookmarkStart w:id="198" w:name="ref-zoltners2014"/>
    <w:p>
      <w:pPr>
        <w:pStyle w:val="Bibliography"/>
      </w:pPr>
      <w:r>
        <w:t xml:space="preserve">[18] ZOLTNERS A A, SINHA P, LORIMER S E. The Power of Sales Analytics[M]. Evanston: ZS Associates, 2014.</w:t>
      </w:r>
    </w:p>
    <w:bookmarkEnd w:id="198"/>
    <w:bookmarkStart w:id="199"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9"/>
    <w:bookmarkStart w:id="200"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0"/>
    <w:bookmarkStart w:id="201"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1"/>
    <w:bookmarkStart w:id="203"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2">
        <w:r>
          <w:rPr>
            <w:rStyle w:val="Hyperlink"/>
          </w:rPr>
          <w:t xml:space="preserve">10.14107/j.cnki.kzgc.20250703</w:t>
        </w:r>
      </w:hyperlink>
      <w:r>
        <w:t xml:space="preserve">.</w:t>
      </w:r>
    </w:p>
    <w:bookmarkEnd w:id="203"/>
    <w:bookmarkStart w:id="204"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04"/>
    <w:bookmarkStart w:id="205"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5"/>
    <w:bookmarkStart w:id="206"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6"/>
    <w:bookmarkStart w:id="207"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7"/>
    <w:bookmarkStart w:id="208"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8"/>
    <w:bookmarkStart w:id="209"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9"/>
    <w:bookmarkStart w:id="210"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0"/>
    <w:bookmarkStart w:id="211" w:name="ref-kuhn1955"/>
    <w:p>
      <w:pPr>
        <w:pStyle w:val="Bibliography"/>
      </w:pPr>
      <w:r>
        <w:t xml:space="preserve">[30] KUHN H W. The Hungarian method for the assignment problem[J]. Naval Research Logistics Quarterly, 1955, 2(1-2): 83-97.</w:t>
      </w:r>
    </w:p>
    <w:bookmarkEnd w:id="211"/>
    <w:bookmarkStart w:id="212" w:name="ref-kirkpatrick1983"/>
    <w:p>
      <w:pPr>
        <w:pStyle w:val="Bibliography"/>
      </w:pPr>
      <w:r>
        <w:t xml:space="preserve">[31] KIRKPATRICK S, GELATT C D, VECCHI M P. Optimization by simulated annealing[J]. Science, 1983, 220(4598): 671-680.</w:t>
      </w:r>
    </w:p>
    <w:bookmarkEnd w:id="212"/>
    <w:bookmarkEnd w:id="213"/>
    <w:bookmarkEnd w:id="21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2" Type="http://schemas.openxmlformats.org/officeDocument/2006/relationships/hyperlink" Target="https://doi.org/10.14107/j.cnki.kzgc.20250703" TargetMode="External"/><Relationship Id="rId180"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2" Type="http://schemas.openxmlformats.org/officeDocument/2006/relationships/hyperlink" Target="https://doi.org/10.14107/j.cnki.kzgc.20250703" TargetMode="External"/><Relationship Id="rId18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2026-05-30T01:56:10Z</dcterms:created>
  <dcterms:modified xsi:type="dcterms:W3CDTF">2026-05-30T01:56:10Z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