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CRM系统中的医生分级、流向、处方等数据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本文采用定量分析与定性分析相结合的研究方法，主要包括以下四种：</w:t>
      </w:r>
    </w:p>
    <w:p>
      <w:pPr>
        <w:pStyle w:val="BodyText"/>
      </w:pPr>
      <w:r>
        <w:rPr>
          <w:rFonts w:hint="eastAsia"/>
        </w:rPr>
        <w:t xml:space="preserve">文献研究法：系统梳理国内外销售辖区分配领域的理论演进，从经典精确算法到启发式算法再到现代SFE商业化落地，识别现有研究的局限性以及本文的切入点，为后续模型设计提供理论参照。</w:t>
      </w:r>
    </w:p>
    <w:p>
      <w:pPr>
        <w:pStyle w:val="BodyText"/>
      </w:pPr>
      <w:r>
        <w:rPr>
          <w:rFonts w:hint="eastAsia"/>
        </w:rPr>
        <w:t xml:space="preserve">数学建模与算法设计：将辖区分配问题抽象为带约束的多目标组合优化问题，搭建基于阈值惩罚的代价函数，设计六层地理聚类、模拟退火、Hungarian匹配三阶段求解算法，并完成可交互的算法系统实现，将抽象的数学模型转化为面向业务管理者的实际工具。</w:t>
      </w:r>
    </w:p>
    <w:p>
      <w:pPr>
        <w:pStyle w:val="BodyText"/>
      </w:pPr>
      <w:r>
        <w:rPr>
          <w:rFonts w:hint="eastAsia"/>
        </w:rPr>
        <w:t xml:space="preserve">案例研究法：以某跨国制药企业为研究对象，获取其脱敏后的医院清单、辖区配置、历史分配等数据，作为算法验证的实证基础。结合作者多年医药行业SFE实践经验，对算法输出方案进行业务合理性的人工核验。</w:t>
      </w:r>
    </w:p>
    <w:p>
      <w:pPr>
        <w:pStyle w:val="BodyText"/>
      </w:pPr>
      <w:r>
        <w:rPr>
          <w:rFonts w:hint="eastAsia"/>
        </w:rPr>
        <w:t xml:space="preserve">对比实验与敏感性分析：通过As-Is（现状人工分配）与To-Be（算法优化分配）的对照设计，从Index均衡度、地理紧凑性、客户保留率等维度量化算法的改善效果，并借助关键参数（拆分阈值、退火迭代次数、惩罚权重等）的敏感性测试验证算法的稳健性。</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第三章，制药企业SFE辖区管理现状与痛点诊断。分析医药行业宏观政策环境，以某跨国药企为案例剖析现行辖区管理模式，诊断核心痛点并论证引入智能算法的必要性。</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；这种”两类机制有机结合”的设计理念，与本文”四层聚类生成初始解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69" w:name="第三章-制药企业-sfe-辖区管理现状与痛点诊断"/>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辖区管理现状与痛点诊断</w:t>
      </w:r>
    </w:p>
    <w:p>
      <w:pPr>
        <w:pStyle w:val="FirstParagraph"/>
      </w:pPr>
      <w:r>
        <w:rPr>
          <w:rFonts w:hint="eastAsia"/>
        </w:rP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w:t>
      </w:r>
      <w:r>
        <w:t xml:space="preserve"> SFE </w:t>
      </w:r>
      <w:r>
        <w:rPr>
          <w:rFonts w:hint="eastAsia"/>
        </w:rPr>
        <w:t xml:space="preserve">辖区管理的现状与核心痛点，为第四章的模型构建提供问题导向的需求输入。</w:t>
      </w:r>
    </w:p>
    <w:bookmarkStart w:id="57" w:name="医药行业宏观政策环境分析"/>
    <w:p>
      <w:pPr>
        <w:pStyle w:val="Heading2"/>
      </w:pPr>
      <w:r>
        <w:t xml:space="preserve">3.1 </w:t>
      </w:r>
      <w:r>
        <w:rPr>
          <w:rFonts w:hint="eastAsia"/>
        </w:rPr>
        <w:t xml:space="preserve">医药行业宏观政策环境分析</w:t>
      </w:r>
    </w:p>
    <w:p>
      <w:pPr>
        <w:pStyle w:val="FirstParagraph"/>
      </w:pPr>
      <w:r>
        <w:rPr>
          <w:rFonts w:hint="eastAsia"/>
        </w:rP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51" w:name="国家集采vbp常态化的影响"/>
    <w:p>
      <w:pPr>
        <w:pStyle w:val="Heading3"/>
      </w:pPr>
      <w:r>
        <w:t xml:space="preserve">3.1.1 </w:t>
      </w:r>
      <w:r>
        <w:rPr>
          <w:rFonts w:hint="eastAsia"/>
        </w:rPr>
        <w:t xml:space="preserve">国家集采（VBP）常态化的影响</w:t>
      </w:r>
    </w:p>
    <w:p>
      <w:pPr>
        <w:pStyle w:val="FirstParagraph"/>
      </w:pPr>
      <w:r>
        <w:rPr>
          <w:rFonts w:hint="eastAsia"/>
        </w:rPr>
        <w:t xml:space="preserve">国家组织药品集中带量采购（Volume-Based</w:t>
      </w:r>
      <w:r>
        <w:t xml:space="preserve"> Procurement, </w:t>
      </w:r>
      <w:r>
        <w:rPr>
          <w:rFonts w:hint="eastAsia"/>
        </w:rPr>
        <w:t xml:space="preserve">VBP）已推进至第十一批，覆盖品种超过</w:t>
      </w:r>
      <w:r>
        <w:t xml:space="preserve"> 430 </w:t>
      </w:r>
      <w:r>
        <w:rPr>
          <w:rFonts w:hint="eastAsia"/>
        </w:rPr>
        <w:t xml:space="preserve">个</w:t>
      </w:r>
      <w:r>
        <w:rPr>
          <w:vertAlign w:val="superscript"/>
        </w:rPr>
        <w:t xml:space="preserve">[6]</w:t>
      </w:r>
      <w:r>
        <w:rPr>
          <w:rFonts w:hint="eastAsia"/>
        </w:rPr>
        <w:t xml:space="preserve">。图</w:t>
      </w:r>
      <w:r>
        <w:t xml:space="preserve"> 3-1 </w:t>
      </w:r>
      <w:r>
        <w:rPr>
          <w:rFonts w:hint="eastAsia"/>
        </w:rPr>
        <w:t xml:space="preserve">呈现了</w:t>
      </w:r>
      <w:r>
        <w:t xml:space="preserve"> 2018 </w:t>
      </w:r>
      <w:r>
        <w:rPr>
          <w:rFonts w:hint="eastAsia"/>
        </w:rPr>
        <w:t xml:space="preserve">年首批”4+7”试点至</w:t>
      </w:r>
      <w:r>
        <w:t xml:space="preserve"> 2025 </w:t>
      </w:r>
      <w:r>
        <w:rPr>
          <w:rFonts w:hint="eastAsia"/>
        </w:rPr>
        <w:t xml:space="preserve">年第十一批的演变全貌：本轮新增品种数从首批的</w:t>
      </w:r>
      <w:r>
        <w:t xml:space="preserve"> 25 </w:t>
      </w:r>
      <w:r>
        <w:rPr>
          <w:rFonts w:hint="eastAsia"/>
        </w:rPr>
        <w:t xml:space="preserve">个稳步攀升至第三批的</w:t>
      </w:r>
      <w:r>
        <w:t xml:space="preserve"> 55 </w:t>
      </w:r>
      <w:r>
        <w:rPr>
          <w:rFonts w:hint="eastAsia"/>
        </w:rPr>
        <w:t xml:space="preserve">个高点后保持在</w:t>
      </w:r>
      <w:r>
        <w:t xml:space="preserve"> 35-60 </w:t>
      </w:r>
      <w:r>
        <w:rPr>
          <w:rFonts w:hint="eastAsia"/>
        </w:rPr>
        <w:t xml:space="preserve">之间的稳定节奏，累计覆盖品种数则呈现近乎线性的增长，从</w:t>
      </w:r>
      <w:r>
        <w:t xml:space="preserve"> 25 </w:t>
      </w:r>
      <w:r>
        <w:rPr>
          <w:rFonts w:hint="eastAsia"/>
        </w:rPr>
        <w:t xml:space="preserve">个一路推进至</w:t>
      </w:r>
      <w:r>
        <w:t xml:space="preserve"> 490 </w:t>
      </w:r>
      <w:r>
        <w:rPr>
          <w:rFonts w:hint="eastAsia"/>
        </w:rPr>
        <w:t xml:space="preserve">个，距离行业普遍预期的</w:t>
      </w:r>
      <w:r>
        <w:t xml:space="preserve"> 600 </w:t>
      </w:r>
      <w:r>
        <w:rPr>
          <w:rFonts w:hint="eastAsia"/>
        </w:rPr>
        <w:t xml:space="preserve">个目标仅一步之遥。这意味着集采已不再是阶段性的政策实验，而是成为药品价格管理的常态化机制——每一轮新增品种都意味着相应产品线的销售团队规模需要重新评估。</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BodyText"/>
      </w:pPr>
      <w:r>
        <w:rPr>
          <w:rFonts w:hint="eastAsia"/>
        </w:rPr>
        <w:t xml:space="preserve">集采政策的常态化对制药企业的辖区管理形成了两个层面的直接冲击。</w:t>
      </w:r>
    </w:p>
    <w:p>
      <w:pPr>
        <w:pStyle w:val="BodyText"/>
      </w:pPr>
      <w:r>
        <w:rPr>
          <w:rFonts w:hint="eastAsia"/>
        </w:rPr>
        <w:t xml:space="preserve">第一层冲击是组织架构的频繁调整。一旦核心产品被纳入集采，该产品线的销售团队规模往往需要大幅缩减——以某跨国药企为例，其一条成熟产品线在进入集采后，全国销售代表编制从约</w:t>
      </w:r>
      <w:r>
        <w:t xml:space="preserve"> 300 </w:t>
      </w:r>
      <w:r>
        <w:rPr>
          <w:rFonts w:hint="eastAsia"/>
        </w:rPr>
        <w:t xml:space="preserve">人缩减至不足</w:t>
      </w:r>
      <w:r>
        <w:t xml:space="preserve"> 200 </w:t>
      </w:r>
      <w:r>
        <w:rPr>
          <w:rFonts w:hint="eastAsia"/>
        </w:rPr>
        <w:t xml:space="preserve">人，缩减幅度超过</w:t>
      </w:r>
      <w:r>
        <w:t xml:space="preserve"> </w:t>
      </w:r>
      <w:r>
        <w:rPr>
          <w:rFonts w:hint="eastAsia"/>
        </w:rPr>
        <w:t xml:space="preserve">30%。这意味着原有辖区方案需要在短时间内重新规划，将原本由</w:t>
      </w:r>
      <w:r>
        <w:t xml:space="preserve"> 300 </w:t>
      </w:r>
      <w:r>
        <w:rPr>
          <w:rFonts w:hint="eastAsia"/>
        </w:rPr>
        <w:t xml:space="preserve">人覆盖的数千家医院终端重新分配给</w:t>
      </w:r>
      <w:r>
        <w:t xml:space="preserve"> 200 </w:t>
      </w:r>
      <w:r>
        <w:rPr>
          <w:rFonts w:hint="eastAsia"/>
        </w:rPr>
        <w:t xml:space="preserve">人，同时确保核心高潜力医院不被遗漏。这类”战略收缩”场景对辖区分配的响应速度和算法能力提出了极高要求。</w:t>
      </w:r>
    </w:p>
    <w:p>
      <w:pPr>
        <w:pStyle w:val="BodyText"/>
      </w:pPr>
      <w:r>
        <w:rPr>
          <w:rFonts w:hint="eastAsia"/>
        </w:rPr>
        <w:t xml:space="preserve">第二层冲击是资源配置逻辑的根本转变。集采前，企业的辖区分配主要围绕”销量最大化”展开，销售代表的覆盖范围以历史销量为核心权重；集采后，中标品种的销量被集采协议锁定，企业的竞争焦点转向非集采品种和创新药的市场开拓。也就是说，辖区分配的价值评估体系必须从单一的历史销量指标，改良为融合销售潜力、市场增长率、竞品渗透率等多维度的综合价值指数（Index）。传统的手工分配模式难以处理这种复合维度的价值评估与均衡优化。从行业整体来看</w:t>
      </w:r>
      <w:r>
        <w:rPr>
          <w:vertAlign w:val="superscript"/>
        </w:rPr>
        <w:t xml:space="preserve">[2]</w:t>
      </w:r>
      <w:r>
        <w:rPr>
          <w:rFonts w:hint="eastAsia"/>
        </w:rPr>
        <w:t xml:space="preserve">，集采政策加速了制药企业从”粗放式增长”向”精细化运营”的转型——辖区分配不再是一项可以”差不多就行”的行政事务，而是直接关系到企业资源配置效率和市场竞争力的战略性决策。</w:t>
      </w:r>
    </w:p>
    <w:bookmarkEnd w:id="51"/>
    <w:bookmarkStart w:id="52" w:name="医保谈判对企业利润空间的挤压"/>
    <w:p>
      <w:pPr>
        <w:pStyle w:val="Heading3"/>
      </w:pPr>
      <w:r>
        <w:t xml:space="preserve">3.1.2 </w:t>
      </w:r>
      <w:r>
        <w:rPr>
          <w:rFonts w:hint="eastAsia"/>
        </w:rPr>
        <w:t xml:space="preserve">医保谈判对企业利润空间的挤压</w:t>
      </w:r>
    </w:p>
    <w:p>
      <w:pPr>
        <w:pStyle w:val="FirstParagraph"/>
      </w:pPr>
      <w:r>
        <w:rPr>
          <w:rFonts w:hint="eastAsia"/>
        </w:rPr>
        <w:t xml:space="preserve">与集采主要影响成熟仿制药不同，国家医保谈判机制的建立对创新药企业的辖区管理产生了独特的影响。医保目录动态调整机制使得创新药从获批上市到纳入医保的周期大幅缩短至约一年，但谈判降价幅度同样显著，平均降幅约为60%</w:t>
      </w:r>
      <w:r>
        <w:rPr>
          <w:vertAlign w:val="superscript"/>
        </w:rPr>
        <w:t xml:space="preserve">[28]</w:t>
      </w:r>
      <w:r>
        <w:t xml:space="preserve">。</w:t>
      </w:r>
    </w:p>
    <w:p>
      <w:pPr>
        <w:pStyle w:val="BodyText"/>
      </w:pPr>
      <w:r>
        <w:rPr>
          <w:rFonts w:hint="eastAsia"/>
        </w:rPr>
        <w:t xml:space="preserve">这一政策环境对辖区管理的影响体现在”时间窗口压缩”效应上。麦肯锡的研究指出，新药从获批到达成销售峰值的时间相较过去明显缩短，本土创新药企的商业化能力建设面临更大压力</w:t>
      </w:r>
      <w:r>
        <w:rPr>
          <w:vertAlign w:val="superscript"/>
        </w:rPr>
        <w:t xml:space="preserve">[5]</w:t>
      </w:r>
      <w:r>
        <w:rPr>
          <w:rFonts w:hint="eastAsia"/>
        </w:rPr>
        <w:t xml:space="preserve">。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rPr>
          <w:rFonts w:hint="eastAsia"/>
        </w:rP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52"/>
    <w:bookmarkStart w:id="56" w:name="反腐深化对商业模式的冲击"/>
    <w:p>
      <w:pPr>
        <w:pStyle w:val="Heading3"/>
      </w:pPr>
      <w:r>
        <w:t xml:space="preserve">3.1.3 </w:t>
      </w:r>
      <w:r>
        <w:rPr>
          <w:rFonts w:hint="eastAsia"/>
        </w:rPr>
        <w:t xml:space="preserve">反腐深化对商业模式的冲击</w:t>
      </w:r>
    </w:p>
    <w:p>
      <w:pPr>
        <w:pStyle w:val="FirstParagraph"/>
      </w:pPr>
      <w:r>
        <w:rPr>
          <w:rFonts w:hint="eastAsia"/>
        </w:rPr>
        <w:t xml:space="preserve">2023年以来，医药领域反腐进入”深水区”，对制药企业的商业模式和销售管理产生了深远影响</w:t>
      </w:r>
      <w:r>
        <w:rPr>
          <w:vertAlign w:val="superscript"/>
        </w:rPr>
        <w:t xml:space="preserve">[7]</w:t>
      </w:r>
      <w:r>
        <w:rPr>
          <w:rFonts w:hint="eastAsia"/>
        </w:rPr>
        <w:t xml:space="preserve">。图</w:t>
      </w:r>
      <w:r>
        <w:t xml:space="preserve"> 3-2 </w:t>
      </w:r>
      <w:r>
        <w:rPr>
          <w:rFonts w:hint="eastAsia"/>
        </w:rPr>
        <w:t xml:space="preserve">以</w:t>
      </w:r>
      <w:r>
        <w:t xml:space="preserve"> 2019 </w:t>
      </w:r>
      <w:r>
        <w:rPr>
          <w:rFonts w:hint="eastAsia"/>
        </w:rPr>
        <w:t xml:space="preserve">年为基准展示了医药行业</w:t>
      </w:r>
      <w:r>
        <w:t xml:space="preserve"> </w:t>
      </w:r>
      <w:r>
        <w:rPr>
          <w:rFonts w:hint="eastAsia"/>
        </w:rPr>
        <w:t xml:space="preserve">HCP（Healthcare</w:t>
      </w:r>
      <w:r>
        <w:t xml:space="preserve"> </w:t>
      </w:r>
      <w:r>
        <w:rPr>
          <w:rFonts w:hint="eastAsia"/>
        </w:rPr>
        <w:t xml:space="preserve">Professional，医疗专业人士）互动总量与面对面拜访占比的演变曲线</w:t>
      </w:r>
      <w:r>
        <w:rPr>
          <w:vertAlign w:val="superscript"/>
        </w:rPr>
        <w:t xml:space="preserve">[4]</w:t>
      </w:r>
      <w:r>
        <w:rPr>
          <w:rFonts w:hint="eastAsia"/>
        </w:rPr>
        <w:t xml:space="preserve">：互动总量指数在</w:t>
      </w:r>
      <w:r>
        <w:t xml:space="preserve"> 2020 </w:t>
      </w:r>
      <w:r>
        <w:rPr>
          <w:rFonts w:hint="eastAsia"/>
        </w:rPr>
        <w:t xml:space="preserve">年因</w:t>
      </w:r>
      <w:r>
        <w:t xml:space="preserve"> COVID-19 </w:t>
      </w:r>
      <w:r>
        <w:rPr>
          <w:rFonts w:hint="eastAsia"/>
        </w:rPr>
        <w:t xml:space="preserve">爆发骤降至</w:t>
      </w:r>
      <w:r>
        <w:t xml:space="preserve"> </w:t>
      </w:r>
      <w:r>
        <w:rPr>
          <w:rFonts w:hint="eastAsia"/>
        </w:rPr>
        <w:t xml:space="preserve">62，此后缓慢回升至</w:t>
      </w:r>
      <w:r>
        <w:t xml:space="preserve"> 2024 </w:t>
      </w:r>
      <w:r>
        <w:rPr>
          <w:rFonts w:hint="eastAsia"/>
        </w:rPr>
        <w:t xml:space="preserve">年的</w:t>
      </w:r>
      <w:r>
        <w:t xml:space="preserve"> </w:t>
      </w:r>
      <w:r>
        <w:rPr>
          <w:rFonts w:hint="eastAsia"/>
        </w:rPr>
        <w:t xml:space="preserve">74，仍未恢复到疫情前水平，与</w:t>
      </w:r>
      <w:r>
        <w:t xml:space="preserve"> 2019 </w:t>
      </w:r>
      <w:r>
        <w:rPr>
          <w:rFonts w:hint="eastAsia"/>
        </w:rPr>
        <w:t xml:space="preserve">年相比综合下降幅度约为</w:t>
      </w:r>
      <w:r>
        <w:t xml:space="preserve"> </w:t>
      </w:r>
      <w:r>
        <w:rPr>
          <w:rFonts w:hint="eastAsia"/>
        </w:rPr>
        <w:t xml:space="preserve">26%；面对面拜访占比则从</w:t>
      </w:r>
      <w:r>
        <w:t xml:space="preserve"> 2019 </w:t>
      </w:r>
      <w:r>
        <w:rPr>
          <w:rFonts w:hint="eastAsia"/>
        </w:rPr>
        <w:t xml:space="preserve">年的</w:t>
      </w:r>
      <w:r>
        <w:t xml:space="preserve"> 91% </w:t>
      </w:r>
      <w:r>
        <w:rPr>
          <w:rFonts w:hint="eastAsia"/>
        </w:rPr>
        <w:t xml:space="preserve">跌至</w:t>
      </w:r>
      <w:r>
        <w:t xml:space="preserve"> 2020 </w:t>
      </w:r>
      <w:r>
        <w:rPr>
          <w:rFonts w:hint="eastAsia"/>
        </w:rPr>
        <w:t xml:space="preserve">年的</w:t>
      </w:r>
      <w:r>
        <w:t xml:space="preserve"> 55% </w:t>
      </w:r>
      <w:r>
        <w:rPr>
          <w:rFonts w:hint="eastAsia"/>
        </w:rPr>
        <w:t xml:space="preserve">后长期低位徘徊，在</w:t>
      </w:r>
      <w:r>
        <w:t xml:space="preserve"> 2023 </w:t>
      </w:r>
      <w:r>
        <w:rPr>
          <w:rFonts w:hint="eastAsia"/>
        </w:rPr>
        <w:t xml:space="preserve">年反腐运动启动后又下挫至</w:t>
      </w:r>
      <w:r>
        <w:t xml:space="preserve"> 48% </w:t>
      </w:r>
      <w:r>
        <w:rPr>
          <w:rFonts w:hint="eastAsia"/>
        </w:rPr>
        <w:t xml:space="preserve">的最低点，2024</w:t>
      </w:r>
      <w:r>
        <w:t xml:space="preserve"> </w:t>
      </w:r>
      <w:r>
        <w:rPr>
          <w:rFonts w:hint="eastAsia"/>
        </w:rPr>
        <w:t xml:space="preserve">年虽小幅反弹至</w:t>
      </w:r>
      <w:r>
        <w:t xml:space="preserve"> </w:t>
      </w:r>
      <w:r>
        <w:rPr>
          <w:rFonts w:hint="eastAsia"/>
        </w:rPr>
        <w:t xml:space="preserve">60%，但相对疫情前已有</w:t>
      </w:r>
      <w:r>
        <w:t xml:space="preserve"> 30 </w:t>
      </w:r>
      <w:r>
        <w:rPr>
          <w:rFonts w:hint="eastAsia"/>
        </w:rPr>
        <w:t xml:space="preserve">个百分点的结构性下降。这意味着销售代表的”接触能力”在过去五年间被系统性削弱，这一趋势直接重塑了辖区管理的实践。</w:t>
      </w:r>
    </w:p>
    <w:p>
      <w:pPr>
        <w:pStyle w:val="CaptionedFigure"/>
      </w:pPr>
      <w:r>
        <w:drawing>
          <wp:inline>
            <wp:extent cx="5399314" cy="3406019"/>
            <wp:effectExtent b="0" l="0" r="0" t="0"/>
            <wp:docPr descr="图 3-2 医药行业 HCP 互动总量与面对面拜访占比演变（2019-2024）" title="" id="54" name="Picture"/>
            <a:graphic>
              <a:graphicData uri="http://schemas.openxmlformats.org/drawingml/2006/picture">
                <pic:pic>
                  <pic:nvPicPr>
                    <pic:cNvPr descr="figures/fig3-2.png" id="55" name="Picture"/>
                    <pic:cNvPicPr>
                      <a:picLocks noChangeArrowheads="1" noChangeAspect="1"/>
                    </pic:cNvPicPr>
                  </pic:nvPicPr>
                  <pic:blipFill>
                    <a:blip r:embed="rId53"/>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反腐高压从三个维度影响了辖区管理的实践。</w:t>
      </w:r>
    </w:p>
    <w:p>
      <w:pPr>
        <w:pStyle w:val="BodyText"/>
      </w:pPr>
      <w:r>
        <w:rPr>
          <w:rFonts w:hint="eastAsia"/>
        </w:rPr>
        <w:t xml:space="preserve">其一是销售模式的根本转型。传统的”带金销售”模式加速退出历史舞台，企业被迫转向以学术推广为核心的合规化运营——销售代表的工作内容从”客情维护”转向”学术推广”，其覆盖能力和工作效率发生了质的变化。辖区分配需要重新评估每位代表的合理工作负荷，从传统的以”客户数量”为核心的分配逻辑转向”学术覆盖质量”。</w:t>
      </w:r>
    </w:p>
    <w:p>
      <w:pPr>
        <w:pStyle w:val="BodyText"/>
      </w:pPr>
      <w:r>
        <w:rPr>
          <w:rFonts w:hint="eastAsia"/>
        </w:rPr>
        <w:t xml:space="preserve">其二是医院准入门槛的明显提高。反腐之后，医院对药企的学术活动和人员来访建立了更严格的报备制度，医生参加学术会议也更加谨慎——这种变化让销售代表与医生的沟通效率明显降低，单位时间内的有效拜访次数减少。辖区分配需要考虑这一新的现实约束，适当降低每位代表的医院覆盖数量，以保证学术推广的质量和深度。</w:t>
      </w:r>
    </w:p>
    <w:p>
      <w:pPr>
        <w:pStyle w:val="BodyText"/>
      </w:pPr>
      <w:r>
        <w:rPr>
          <w:rFonts w:hint="eastAsia"/>
        </w:rPr>
        <w:t xml:space="preserve">其三是组织架构的被动调整。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rFonts w:hint="eastAsia"/>
        </w:rPr>
        <w:t xml:space="preserve">值得关注的是，2026</w:t>
      </w:r>
      <w:r>
        <w:t xml:space="preserve"> </w:t>
      </w:r>
      <w:r>
        <w:rPr>
          <w:rFonts w:hint="eastAsia"/>
        </w:rPr>
        <w:t xml:space="preserve">年由国家市场监督管理总局等七部门联合发布的《医药代表管理办法》将于</w:t>
      </w:r>
      <w:r>
        <w:t xml:space="preserve"> 2026 </w:t>
      </w:r>
      <w:r>
        <w:rPr>
          <w:rFonts w:hint="eastAsia"/>
        </w:rPr>
        <w:t xml:space="preserve">年</w:t>
      </w:r>
      <w:r>
        <w:t xml:space="preserve"> 8 </w:t>
      </w:r>
      <w:r>
        <w:rPr>
          <w:rFonts w:hint="eastAsia"/>
        </w:rPr>
        <w:t xml:space="preserve">月</w:t>
      </w:r>
      <w:r>
        <w:t xml:space="preserve"> 1 </w:t>
      </w:r>
      <w:r>
        <w:rPr>
          <w:rFonts w:hint="eastAsia"/>
        </w:rPr>
        <w:t xml:space="preserve">日正式施行，对医药代表的备案制度、学术推广规范以及</w:t>
      </w:r>
      <w:r>
        <w:t xml:space="preserve"> 22 </w:t>
      </w:r>
      <w:r>
        <w:rPr>
          <w:rFonts w:hint="eastAsia"/>
        </w:rPr>
        <w:t xml:space="preserve">项禁止行为做了系统性规定</w:t>
      </w:r>
      <w:r>
        <w:rPr>
          <w:vertAlign w:val="superscript"/>
        </w:rPr>
        <w:t xml:space="preserve">[29]</w:t>
      </w:r>
      <w:r>
        <w:rPr>
          <w:rFonts w:hint="eastAsia"/>
        </w:rPr>
        <w:t xml:space="preserve">。这一新政从制度层面进一步压缩了”灰色地带”的存续空间，让销售代表的工作负荷必须以更精确、更可量化的方式进行衡量与分配——换言之，《医药代表管理办法》让辖区分配从单纯的”业务问题”上升为兼具合规属性的管理命题。</w:t>
      </w:r>
    </w:p>
    <w:p>
      <w:pPr>
        <w:pStyle w:val="BodyText"/>
      </w:pPr>
      <w:r>
        <w:rPr>
          <w:rFonts w:hint="eastAsia"/>
        </w:rPr>
        <w:t xml:space="preserve">综合来看，国家集采、医保谈判、医药反腐与医药代表合规规范叠加之下，制药企业的辖区管理面临前所未有的挑战：组织架构调整更加频繁（从年度调整变为季度甚至月度调整）、分配维度更加复杂（从单一销量指标变为多维综合价值指数）、精度要求更加严格（从”大致均衡”变为”精确均衡”）。这些变化从根本上超越了传统手工分配模式的能力边界，为智能算法的引入创造了迫切需求。</w:t>
      </w:r>
    </w:p>
    <w:bookmarkEnd w:id="56"/>
    <w:bookmarkEnd w:id="57"/>
    <w:bookmarkStart w:id="63" w:name="现行辖区管理模式分析以某跨国药企为例"/>
    <w:p>
      <w:pPr>
        <w:pStyle w:val="Heading2"/>
      </w:pPr>
      <w:r>
        <w:t xml:space="preserve">3.2 </w:t>
      </w:r>
      <w:r>
        <w:rPr>
          <w:rFonts w:hint="eastAsia"/>
        </w:rPr>
        <w:t xml:space="preserve">现行辖区管理模式分析——以某跨国药企为例</w:t>
      </w:r>
    </w:p>
    <w:p>
      <w:pPr>
        <w:pStyle w:val="FirstParagraph"/>
      </w:pPr>
      <w:r>
        <w:rPr>
          <w:rFonts w:hint="eastAsia"/>
        </w:rP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58" w:name="传统手工划分与静态咨询模式的流程"/>
    <w:p>
      <w:pPr>
        <w:pStyle w:val="Heading3"/>
      </w:pPr>
      <w:r>
        <w:t xml:space="preserve">3.2.1 </w:t>
      </w:r>
      <w:r>
        <w:rPr>
          <w:rFonts w:hint="eastAsia"/>
        </w:rPr>
        <w:t xml:space="preserve">传统手工划分与静态咨询模式的流程</w:t>
      </w:r>
    </w:p>
    <w:p>
      <w:pPr>
        <w:pStyle w:val="FirstParagraph"/>
      </w:pPr>
      <w:r>
        <w:rPr>
          <w:rFonts w:hint="eastAsia"/>
        </w:rPr>
        <w:t xml:space="preserve">A公司是一家在华运营超过20年的跨国制药企业，拥有覆盖肿瘤、免疫、心血管等多个治疗领域的产品线，全国销售代表编制约1500人，覆盖目标医院终端超过8000家。其辖区管理的典型流程通常分为三个阶段。</w:t>
      </w:r>
    </w:p>
    <w:p>
      <w:pPr>
        <w:pStyle w:val="BodyText"/>
      </w:pPr>
      <w:r>
        <w:rPr>
          <w:rFonts w:hint="eastAsia"/>
        </w:rPr>
        <w:t xml:space="preserve">第一个阶段是年度辖区规划。每年第四季度，A公司的中央SFE团队启动下一年度的辖区规划，该团队通常由3-5名SFE分析师组成，负责收集和整合来自CRM系统的医院基础数据、流向数据、处方数据以及第三方市场潜力数据。数据整合完成后，SFE团队借助Excel搭建辖区分配的基础框架，按照省份、城市、区县的行政层级逐级拆解。</w:t>
      </w:r>
    </w:p>
    <w:p>
      <w:pPr>
        <w:pStyle w:val="BodyText"/>
      </w:pPr>
      <w:r>
        <w:rPr>
          <w:rFonts w:hint="eastAsia"/>
        </w:rPr>
        <w:t xml:space="preserve">紧接着进入”自下而上”的博弈阶段，这也是整个流程中最耗时的环节。初始方案形成后，SFE团队会将方案下发至各大区经理和地区经理审核，一线销售经理依据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rFonts w:hint="eastAsia"/>
        </w:rPr>
        <w:t xml:space="preserve">最后是方案定稿与执行阶段。经过多轮博弈，最终方案由销售副总裁审批定稿；然而由于博弈过程中存在大量人为干预，最终方案往往偏离了SFE团队最初的均衡性设计，呈现出”强势经理多拿资源、弱势经理被动接受”的分配格局。</w:t>
      </w:r>
    </w:p>
    <w:p>
      <w:pPr>
        <w:pStyle w:val="BodyText"/>
      </w:pPr>
      <w:r>
        <w:rPr>
          <w:rFonts w:hint="eastAsia"/>
        </w:rPr>
        <w:t xml:space="preserve">在外部咨询模式方面，A公司也曾尝试聘请国际咨询公司提供辖区分配的咨询服务。咨询公司的工作模式通常是：在项目启动阶段收集数据，经过4-8周的分析后交付一份静态的辖区分配报告（一般以PowerPoint和Excel形式呈现）。这种”一次性交付”的模式存在明显局限——一旦企业在项目交付后发生组织架构调整，咨询报告即刻失效，企业不得不重新启动咨询项目或回归手工分配。</w:t>
      </w:r>
    </w:p>
    <w:bookmarkEnd w:id="58"/>
    <w:bookmarkStart w:id="62" w:name="组织架构频繁变动下的管理挑战"/>
    <w:p>
      <w:pPr>
        <w:pStyle w:val="Heading3"/>
      </w:pPr>
      <w:r>
        <w:t xml:space="preserve">3.2.2 </w:t>
      </w:r>
      <w:r>
        <w:rPr>
          <w:rFonts w:hint="eastAsia"/>
        </w:rPr>
        <w:t xml:space="preserve">组织架构频繁变动下的管理挑战</w:t>
      </w:r>
    </w:p>
    <w:p>
      <w:pPr>
        <w:pStyle w:val="FirstParagraph"/>
      </w:pPr>
      <w:r>
        <w:t xml:space="preserve">A </w:t>
      </w:r>
      <w:r>
        <w:rPr>
          <w:rFonts w:hint="eastAsia"/>
        </w:rPr>
        <w:t xml:space="preserve">公司过去六年的销售额与一线销售人员数变化（图</w:t>
      </w:r>
      <w:r>
        <w:t xml:space="preserve"> </w:t>
      </w:r>
      <w:r>
        <w:rPr>
          <w:rFonts w:hint="eastAsia"/>
        </w:rPr>
        <w:t xml:space="preserve">3-3）能够直观体现”业绩持续增长、人员规模受限”的双向挤压格局。销售额从</w:t>
      </w:r>
      <w:r>
        <w:t xml:space="preserve"> 2020 </w:t>
      </w:r>
      <w:r>
        <w:rPr>
          <w:rFonts w:hint="eastAsia"/>
        </w:rPr>
        <w:t xml:space="preserve">年的</w:t>
      </w:r>
      <w:r>
        <w:t xml:space="preserve"> 115 </w:t>
      </w:r>
      <w:r>
        <w:rPr>
          <w:rFonts w:hint="eastAsia"/>
        </w:rPr>
        <w:t xml:space="preserve">亿元逐步攀升至</w:t>
      </w:r>
      <w:r>
        <w:t xml:space="preserve"> 2025 </w:t>
      </w:r>
      <w:r>
        <w:rPr>
          <w:rFonts w:hint="eastAsia"/>
        </w:rPr>
        <w:t xml:space="preserve">年的</w:t>
      </w:r>
      <w:r>
        <w:t xml:space="preserve"> 173 </w:t>
      </w:r>
      <w:r>
        <w:rPr>
          <w:rFonts w:hint="eastAsia"/>
        </w:rPr>
        <w:t xml:space="preserve">亿元，六年累计增长接近</w:t>
      </w:r>
      <w:r>
        <w:t xml:space="preserve"> </w:t>
      </w:r>
      <w:r>
        <w:rPr>
          <w:rFonts w:hint="eastAsia"/>
        </w:rPr>
        <w:t xml:space="preserve">50%；与之形成对照的是，一线销售人员数</w:t>
      </w:r>
      <w:r>
        <w:t xml:space="preserve"> 2020 </w:t>
      </w:r>
      <w:r>
        <w:rPr>
          <w:rFonts w:hint="eastAsia"/>
        </w:rPr>
        <w:t xml:space="preserve">年为</w:t>
      </w:r>
      <w:r>
        <w:t xml:space="preserve"> 2,578 </w:t>
      </w:r>
      <w:r>
        <w:rPr>
          <w:rFonts w:hint="eastAsia"/>
        </w:rPr>
        <w:t xml:space="preserve">人，受疫情与早期集采冲击在</w:t>
      </w:r>
      <w:r>
        <w:t xml:space="preserve"> 2022 </w:t>
      </w:r>
      <w:r>
        <w:rPr>
          <w:rFonts w:hint="eastAsia"/>
        </w:rPr>
        <w:t xml:space="preserve">年降至</w:t>
      </w:r>
      <w:r>
        <w:t xml:space="preserve"> 1,893 </w:t>
      </w:r>
      <w:r>
        <w:rPr>
          <w:rFonts w:hint="eastAsia"/>
        </w:rPr>
        <w:t xml:space="preserve">人的谷底，此后虽有所回升但</w:t>
      </w:r>
      <w:r>
        <w:t xml:space="preserve"> 2025 </w:t>
      </w:r>
      <w:r>
        <w:rPr>
          <w:rFonts w:hint="eastAsia"/>
        </w:rPr>
        <w:t xml:space="preserve">年仍仅为</w:t>
      </w:r>
      <w:r>
        <w:t xml:space="preserve"> 2,383 </w:t>
      </w:r>
      <w:r>
        <w:rPr>
          <w:rFonts w:hint="eastAsia"/>
        </w:rPr>
        <w:t xml:space="preserve">人，整体相比</w:t>
      </w:r>
      <w:r>
        <w:t xml:space="preserve"> 2020 </w:t>
      </w:r>
      <w:r>
        <w:rPr>
          <w:rFonts w:hint="eastAsia"/>
        </w:rPr>
        <w:t xml:space="preserve">年反而减少了</w:t>
      </w:r>
      <w:r>
        <w:t xml:space="preserve"> </w:t>
      </w:r>
      <w:r>
        <w:rPr>
          <w:rFonts w:hint="eastAsia"/>
        </w:rPr>
        <w:t xml:space="preserve">7.5%。这意味着每位代表所需承载的业务体量从</w:t>
      </w:r>
      <w:r>
        <w:t xml:space="preserve"> 2020 </w:t>
      </w:r>
      <w:r>
        <w:rPr>
          <w:rFonts w:hint="eastAsia"/>
        </w:rPr>
        <w:t xml:space="preserve">年的约</w:t>
      </w:r>
      <w:r>
        <w:t xml:space="preserve"> 0.45 </w:t>
      </w:r>
      <w:r>
        <w:rPr>
          <w:rFonts w:hint="eastAsia"/>
        </w:rPr>
        <w:t xml:space="preserve">亿元/人提升到</w:t>
      </w:r>
      <w:r>
        <w:t xml:space="preserve"> 2025 </w:t>
      </w:r>
      <w:r>
        <w:rPr>
          <w:rFonts w:hint="eastAsia"/>
        </w:rPr>
        <w:t xml:space="preserve">年的</w:t>
      </w:r>
      <w:r>
        <w:t xml:space="preserve"> 0.73 </w:t>
      </w:r>
      <w:r>
        <w:rPr>
          <w:rFonts w:hint="eastAsia"/>
        </w:rPr>
        <w:t xml:space="preserve">亿元/人，工作负荷增加了</w:t>
      </w:r>
      <w:r>
        <w:t xml:space="preserve"> 60% </w:t>
      </w:r>
      <w:r>
        <w:rPr>
          <w:rFonts w:hint="eastAsia"/>
        </w:rPr>
        <w:t xml:space="preserve">以上——而这一切的背后，是辖区分配方案不得不在更频繁的调整、更复杂的约束下持续适配业务变化。</w:t>
      </w:r>
    </w:p>
    <w:p>
      <w:pPr>
        <w:pStyle w:val="CaptionedFigure"/>
      </w:pPr>
      <w:r>
        <w:drawing>
          <wp:inline>
            <wp:extent cx="5417648" cy="3217587"/>
            <wp:effectExtent b="0" l="0" r="0" t="0"/>
            <wp:docPr descr="图 3-3 A 公司 2020-2025 年销售额与一线销售人员数变化" title="" id="60" name="Picture"/>
            <a:graphic>
              <a:graphicData uri="http://schemas.openxmlformats.org/drawingml/2006/picture">
                <pic:pic>
                  <pic:nvPicPr>
                    <pic:cNvPr descr="figures/fig3-3.png" id="61" name="Picture"/>
                    <pic:cNvPicPr>
                      <a:picLocks noChangeArrowheads="1" noChangeAspect="1"/>
                    </pic:cNvPicPr>
                  </pic:nvPicPr>
                  <pic:blipFill>
                    <a:blip r:embed="rId59"/>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A </w:t>
      </w:r>
      <w:r>
        <w:rPr>
          <w:rFonts w:hint="eastAsia"/>
        </w:rPr>
        <w:t xml:space="preserve">公司</w:t>
      </w:r>
      <w:r>
        <w:t xml:space="preserve"> 2020-2025 </w:t>
      </w:r>
      <w:r>
        <w:rPr>
          <w:rFonts w:hint="eastAsia"/>
        </w:rPr>
        <w:t xml:space="preserve">年销售额与一线销售人员数变化</w:t>
      </w:r>
    </w:p>
    <w:p>
      <w:pPr>
        <w:pStyle w:val="BodyText"/>
      </w:pPr>
      <w:r>
        <w:rPr>
          <w:rFonts w:hint="eastAsia"/>
        </w:rPr>
        <w:t xml:space="preserve">数据来源：作者基于某跨国药企开题答辩内部数据整理，已经过开题委员会审议</w:t>
      </w:r>
    </w:p>
    <w:p>
      <w:pPr>
        <w:pStyle w:val="BodyText"/>
      </w:pPr>
      <w:r>
        <w:rPr>
          <w:rFonts w:hint="eastAsia"/>
        </w:rPr>
        <w:t xml:space="preserve">在当前的政策环境下，A公司的组织架构调整频率显著加快。仅在2023-2024年间，A公司就经历了以下重大调整：</w:t>
      </w:r>
    </w:p>
    <w:p>
      <w:pPr>
        <w:pStyle w:val="Compact"/>
        <w:numPr>
          <w:ilvl w:val="0"/>
          <w:numId w:val="1001"/>
        </w:numPr>
      </w:pPr>
      <w:r>
        <w:rPr>
          <w:rFonts w:hint="eastAsia"/>
        </w:rPr>
        <w:t xml:space="preserve">某成熟产品线因进入集采，全国销售团队从280人缩减至180人；</w:t>
      </w:r>
    </w:p>
    <w:p>
      <w:pPr>
        <w:pStyle w:val="Compact"/>
        <w:numPr>
          <w:ilvl w:val="0"/>
          <w:numId w:val="1001"/>
        </w:numPr>
      </w:pPr>
      <w:r>
        <w:rPr>
          <w:rFonts w:hint="eastAsia"/>
        </w:rPr>
        <w:t xml:space="preserve">某创新药获批上市，新组建了120人的销售团队；</w:t>
      </w:r>
    </w:p>
    <w:p>
      <w:pPr>
        <w:pStyle w:val="Compact"/>
        <w:numPr>
          <w:ilvl w:val="0"/>
          <w:numId w:val="1001"/>
        </w:numPr>
      </w:pPr>
      <w:r>
        <w:rPr>
          <w:rFonts w:hint="eastAsia"/>
        </w:rPr>
        <w:t xml:space="preserve">两个治疗领域的销售团队合并，涉及约400人的辖区重新划分；</w:t>
      </w:r>
    </w:p>
    <w:p>
      <w:pPr>
        <w:pStyle w:val="Compact"/>
        <w:numPr>
          <w:ilvl w:val="0"/>
          <w:numId w:val="1001"/>
        </w:numPr>
      </w:pPr>
      <w:r>
        <w:rPr>
          <w:rFonts w:hint="eastAsia"/>
        </w:rPr>
        <w:t xml:space="preserve">多个省份因区域经理离职或调动，需要进行局部辖区调整。</w:t>
      </w:r>
    </w:p>
    <w:p>
      <w:pPr>
        <w:pStyle w:val="FirstParagraph"/>
      </w:pPr>
      <w:r>
        <w:rPr>
          <w:rFonts w:hint="eastAsia"/>
        </w:rP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rPr>
          <w:rFonts w:hint="eastAsia"/>
        </w:rP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62"/>
    <w:bookmarkEnd w:id="63"/>
    <w:bookmarkStart w:id="67" w:name="核心痛点与成因分析"/>
    <w:p>
      <w:pPr>
        <w:pStyle w:val="Heading2"/>
      </w:pPr>
      <w:r>
        <w:t xml:space="preserve">3.3 </w:t>
      </w:r>
      <w:r>
        <w:rPr>
          <w:rFonts w:hint="eastAsia"/>
        </w:rPr>
        <w:t xml:space="preserve">核心痛点与成因分析</w:t>
      </w:r>
    </w:p>
    <w:p>
      <w:pPr>
        <w:pStyle w:val="FirstParagraph"/>
      </w:pPr>
      <w:r>
        <w:rPr>
          <w:rFonts w:hint="eastAsia"/>
        </w:rPr>
        <w:t xml:space="preserve">基于对A公司及行业内多家制药企业的深入调研，本节将当前辖区管理的核心痛点归纳为三个维度：分配公平性、响应时效性和技术支撑能力。</w:t>
      </w:r>
    </w:p>
    <w:bookmarkStart w:id="64" w:name="区域分配不公与资源错配"/>
    <w:p>
      <w:pPr>
        <w:pStyle w:val="Heading3"/>
      </w:pPr>
      <w:r>
        <w:t xml:space="preserve">3.3.1 </w:t>
      </w:r>
      <w:r>
        <w:rPr>
          <w:rFonts w:hint="eastAsia"/>
        </w:rPr>
        <w:t xml:space="preserve">区域分配不公与资源错配</w:t>
      </w:r>
    </w:p>
    <w:p>
      <w:pPr>
        <w:pStyle w:val="FirstParagraph"/>
      </w:pPr>
      <w:r>
        <w:rPr>
          <w:rFonts w:hint="eastAsia"/>
        </w:rPr>
        <w:t xml:space="preserve">辖区分配的公平性是销售团队管理中最敏感的问题之一。在传统手工分配模式下，分配不公主要表现在三个方面。最直观的是</w:t>
      </w:r>
      <w:r>
        <w:t xml:space="preserve"> Index </w:t>
      </w:r>
      <w:r>
        <w:rPr>
          <w:rFonts w:hint="eastAsia"/>
        </w:rPr>
        <w:t xml:space="preserve">均衡度偏差过大——A</w:t>
      </w:r>
      <w:r>
        <w:t xml:space="preserve"> </w:t>
      </w:r>
      <w:r>
        <w:rPr>
          <w:rFonts w:hint="eastAsia"/>
        </w:rPr>
        <w:t xml:space="preserve">公司的实际案例中，同一产品线内不同辖区的综合价值指数差异可达</w:t>
      </w:r>
      <w:r>
        <w:t xml:space="preserve"> 2-3 </w:t>
      </w:r>
      <w:r>
        <w:rPr>
          <w:rFonts w:hint="eastAsia"/>
        </w:rPr>
        <w:t xml:space="preserve">倍，某省份</w:t>
      </w:r>
      <w:r>
        <w:t xml:space="preserve"> 8 </w:t>
      </w:r>
      <w:r>
        <w:rPr>
          <w:rFonts w:hint="eastAsia"/>
        </w:rPr>
        <w:t xml:space="preserve">个辖区中</w:t>
      </w:r>
      <w:r>
        <w:t xml:space="preserve"> Index </w:t>
      </w:r>
      <w:r>
        <w:rPr>
          <w:rFonts w:hint="eastAsia"/>
        </w:rPr>
        <w:t xml:space="preserve">最高者达到理想值的</w:t>
      </w:r>
      <w:r>
        <w:t xml:space="preserve"> </w:t>
      </w:r>
      <w:r>
        <w:rPr>
          <w:rFonts w:hint="eastAsia"/>
        </w:rPr>
        <w:t xml:space="preserve">180%、最低者仅</w:t>
      </w:r>
      <w:r>
        <w:t xml:space="preserve"> </w:t>
      </w:r>
      <w:r>
        <w:rPr>
          <w:rFonts w:hint="eastAsia"/>
        </w:rPr>
        <w:t xml:space="preserve">60%，意味着两位能力相当的代表仅因辖区分配差异业绩就可能相差</w:t>
      </w:r>
      <w:r>
        <w:t xml:space="preserve"> 3 </w:t>
      </w:r>
      <w:r>
        <w:rPr>
          <w:rFonts w:hint="eastAsia"/>
        </w:rPr>
        <w:t xml:space="preserve">倍。其次是”超大医院”分配难题——以肿瘤领域为例，顶级医院的单院销售潜力可能相当于数十家普通医院的总和，拥有这类医院的辖区天然具有巨大优势；将超大医院拆分给多位代表共同覆盖需要精确的份额计算与协调机制，远超</w:t>
      </w:r>
      <w:r>
        <w:t xml:space="preserve"> Excel </w:t>
      </w:r>
      <w:r>
        <w:rPr>
          <w:rFonts w:hint="eastAsia"/>
        </w:rPr>
        <w:t xml:space="preserve">的处理能力。最后是”强势经理”效应——资历深、话语权大的销售经理往往能在博弈中为自己的团队争取到更优质的辖区资源，让分配结果更多取决于博弈能力而非客观数据，从根本上背离了</w:t>
      </w:r>
      <w:r>
        <w:t xml:space="preserve"> SFE </w:t>
      </w:r>
      <w:r>
        <w:rPr>
          <w:rFonts w:hint="eastAsia"/>
        </w:rPr>
        <w:t xml:space="preserve">管理的科学化初衷。</w:t>
      </w:r>
    </w:p>
    <w:bookmarkEnd w:id="64"/>
    <w:bookmarkStart w:id="65" w:name="响应滞后与数据支撑缺失"/>
    <w:p>
      <w:pPr>
        <w:pStyle w:val="Heading3"/>
      </w:pPr>
      <w:r>
        <w:t xml:space="preserve">3.3.2 </w:t>
      </w:r>
      <w:r>
        <w:rPr>
          <w:rFonts w:hint="eastAsia"/>
        </w:rPr>
        <w:t xml:space="preserve">响应滞后与数据支撑缺失</w:t>
      </w:r>
    </w:p>
    <w:p>
      <w:pPr>
        <w:pStyle w:val="FirstParagraph"/>
      </w:pPr>
      <w:r>
        <w:rPr>
          <w:rFonts w:hint="eastAsia"/>
        </w:rPr>
        <w:t xml:space="preserve">响应滞后体现在两个层面。一是响应周期过长——一次全国范围的辖区重新规划在手工模式下需要</w:t>
      </w:r>
      <w:r>
        <w:t xml:space="preserve"> 6-8 </w:t>
      </w:r>
      <w:r>
        <w:rPr>
          <w:rFonts w:hint="eastAsia"/>
        </w:rPr>
        <w:t xml:space="preserve">周，已严重滞后于当前频繁调整的业务需求，导致”人已到位但辖区未定”的管理真空期。二是方案迭代能力不足——当管理层提出”如果团队从</w:t>
      </w:r>
      <w:r>
        <w:t xml:space="preserve"> 200 </w:t>
      </w:r>
      <w:r>
        <w:rPr>
          <w:rFonts w:hint="eastAsia"/>
        </w:rPr>
        <w:t xml:space="preserve">人调整为</w:t>
      </w:r>
      <w:r>
        <w:t xml:space="preserve"> 180 </w:t>
      </w:r>
      <w:r>
        <w:rPr>
          <w:rFonts w:hint="eastAsia"/>
        </w:rPr>
        <w:t xml:space="preserve">人，方案会如何变化？“这类假设性问题时，SFE</w:t>
      </w:r>
      <w:r>
        <w:t xml:space="preserve"> </w:t>
      </w:r>
      <w:r>
        <w:rPr>
          <w:rFonts w:hint="eastAsia"/>
        </w:rPr>
        <w:t xml:space="preserve">团队需要从头重新计算，无法在短时间内给出多套备选方案。</w:t>
      </w:r>
    </w:p>
    <w:p>
      <w:pPr>
        <w:pStyle w:val="BodyText"/>
      </w:pPr>
      <w:r>
        <w:rPr>
          <w:rFonts w:hint="eastAsia"/>
        </w:rPr>
        <w:t xml:space="preserve">更深层的问题是数据利用率低下。王晓玲（2024）指出我国生物医药行业数字化转型受限于数据基础不足、复合背景人才短缺等瓶颈</w:t>
      </w:r>
      <w:r>
        <w:rPr>
          <w:vertAlign w:val="superscript"/>
        </w:rPr>
        <w:t xml:space="preserve">[10]</w:t>
      </w:r>
      <w:r>
        <w:rPr>
          <w:rFonts w:hint="eastAsia"/>
        </w:rPr>
        <w:t xml:space="preserve">，在辖区管理领域表现尤为突出。A</w:t>
      </w:r>
      <w:r>
        <w:t xml:space="preserve"> </w:t>
      </w:r>
      <w:r>
        <w:rPr>
          <w:rFonts w:hint="eastAsia"/>
        </w:rPr>
        <w:t xml:space="preserve">公司</w:t>
      </w:r>
      <w:r>
        <w:t xml:space="preserve"> CRM </w:t>
      </w:r>
      <w:r>
        <w:rPr>
          <w:rFonts w:hint="eastAsia"/>
        </w:rPr>
        <w:t xml:space="preserve">系统沉淀了海量医院基础数据、医生分级、处方流向等数据，但这些数据在辖区分配过程中的利用率极低——SFE</w:t>
      </w:r>
      <w:r>
        <w:t xml:space="preserve"> </w:t>
      </w:r>
      <w:r>
        <w:rPr>
          <w:rFonts w:hint="eastAsia"/>
        </w:rPr>
        <w:t xml:space="preserve">团队通常只采用历史销量和医院数量两个维度做粗略分配，市场潜力、竞品渗透率、地理距离等大量具有决策价值的数据被闲置。这种”数据丰富、算法贫乏”的矛盾，构成了制药企业辖区管理中最大的效率损失来源。</w:t>
      </w:r>
    </w:p>
    <w:bookmarkEnd w:id="65"/>
    <w:bookmarkStart w:id="66" w:name="商业化-saas-系统的水土不服"/>
    <w:p>
      <w:pPr>
        <w:pStyle w:val="Heading3"/>
      </w:pPr>
      <w:r>
        <w:t xml:space="preserve">3.3.3 </w:t>
      </w:r>
      <w:r>
        <w:rPr>
          <w:rFonts w:hint="eastAsia"/>
        </w:rPr>
        <w:t xml:space="preserve">商业化</w:t>
      </w:r>
      <w:r>
        <w:t xml:space="preserve"> SaaS </w:t>
      </w:r>
      <w:r>
        <w:rPr>
          <w:rFonts w:hint="eastAsia"/>
        </w:rPr>
        <w:t xml:space="preserve">系统的”水土不服”</w:t>
      </w:r>
    </w:p>
    <w:p>
      <w:pPr>
        <w:pStyle w:val="FirstParagraph"/>
      </w:pPr>
      <w:r>
        <w:rPr>
          <w:rFonts w:hint="eastAsia"/>
        </w:rPr>
        <w:t xml:space="preserve">面对手工分配的种种弊端，部分企业曾寄希望于商业化</w:t>
      </w:r>
      <w:r>
        <w:t xml:space="preserve"> SaaS </w:t>
      </w:r>
      <w:r>
        <w:rPr>
          <w:rFonts w:hint="eastAsia"/>
        </w:rPr>
        <w:t xml:space="preserve">系统（IQVIA</w:t>
      </w:r>
      <w:r>
        <w:t xml:space="preserve"> OCE、Veeva Align </w:t>
      </w:r>
      <w:r>
        <w:rPr>
          <w:rFonts w:hint="eastAsia"/>
        </w:rPr>
        <w:t xml:space="preserve">等）来解决问题，但这些系统在中国市场的落地效果并不理想，原因可以从三个层面剖析。最根本的是业务规则的高度非标准化——不同企业、不同产品线、甚至同一企业在不同省份的业务规则都存在极大差异，例如有些企业要求同一区县的医院必须归属同一辖区，有些产品线存在”大医院共岗”的特殊安排，而有些则严格执行”一院一代表”原则——这种过于灵活且非线性的业务规则让标准化</w:t>
      </w:r>
      <w:r>
        <w:t xml:space="preserve"> SaaS </w:t>
      </w:r>
      <w:r>
        <w:rPr>
          <w:rFonts w:hint="eastAsia"/>
        </w:rPr>
        <w:t xml:space="preserve">系统难以在底层架构上完成有效的数据抽象与业务流程泛化。</w:t>
      </w:r>
    </w:p>
    <w:p>
      <w:pPr>
        <w:pStyle w:val="BodyText"/>
      </w:pPr>
      <w:r>
        <w:rPr>
          <w:rFonts w:hint="eastAsia"/>
        </w:rPr>
        <w:t xml:space="preserve">由此衍生出的是定制化开发的成本陷阱。为了满足不同药企客户的独特诉求，SaaS</w:t>
      </w:r>
      <w:r>
        <w:t xml:space="preserve"> </w:t>
      </w:r>
      <w:r>
        <w:rPr>
          <w:rFonts w:hint="eastAsia"/>
        </w:rPr>
        <w:t xml:space="preserve">提供商不得不投入大量资源进行定制化开发，既背离了</w:t>
      </w:r>
      <w:r>
        <w:t xml:space="preserve"> SaaS </w:t>
      </w:r>
      <w:r>
        <w:rPr>
          <w:rFonts w:hint="eastAsia"/>
        </w:rPr>
        <w:t xml:space="preserve">产品边际成本递减的商业逻辑，也让产品开发与维护成本居高不下——某国际</w:t>
      </w:r>
      <w:r>
        <w:t xml:space="preserve"> SaaS </w:t>
      </w:r>
      <w:r>
        <w:rPr>
          <w:rFonts w:hint="eastAsia"/>
        </w:rPr>
        <w:t xml:space="preserve">系统在中国市场的单客户年度订阅费用高达数十万美元，但仍需额外支付大量定制化开发费用，最终因投入产出比严重失衡，多个辖区分配系统面临重组、剥离甚至弃用。更深层次的问题在于中国特色业务场景的适配困难——复杂的行政区划体系（省-市-区县-街道四级）、差异巨大的城乡医疗水平，以及”超大型医院共岗”</w:t>
      </w:r>
      <w:r>
        <w:rPr>
          <w:rFonts w:hint="eastAsia"/>
        </w:rPr>
        <w:t xml:space="preserve">“医联体”</w:t>
      </w:r>
      <w:r>
        <w:rPr>
          <w:rFonts w:hint="eastAsia"/>
        </w:rPr>
        <w:t xml:space="preserve">等独特安排，这些场景在西方市场中并不存在，依据西方市场设计的</w:t>
      </w:r>
      <w:r>
        <w:t xml:space="preserve"> SaaS </w:t>
      </w:r>
      <w:r>
        <w:rPr>
          <w:rFonts w:hint="eastAsia"/>
        </w:rPr>
        <w:t xml:space="preserve">系统在底层数据模型上就存在先天不足。</w:t>
      </w:r>
    </w:p>
    <w:bookmarkEnd w:id="66"/>
    <w:bookmarkEnd w:id="67"/>
    <w:bookmarkStart w:id="68" w:name="本章小结-2"/>
    <w:p>
      <w:pPr>
        <w:pStyle w:val="Heading2"/>
      </w:pPr>
      <w:r>
        <w:t xml:space="preserve">3.4 </w:t>
      </w:r>
      <w:r>
        <w:rPr>
          <w:rFonts w:hint="eastAsia"/>
        </w:rPr>
        <w:t xml:space="preserve">本章小结</w:t>
      </w:r>
    </w:p>
    <w:p>
      <w:pPr>
        <w:pStyle w:val="FirstParagraph"/>
      </w:pPr>
      <w:r>
        <w:rPr>
          <w:rFonts w:hint="eastAsia"/>
        </w:rPr>
        <w:t xml:space="preserve">本章从宏观政策环境、现行管理模式和核心痛点三个层面，系统诊断了制药企业</w:t>
      </w:r>
      <w:r>
        <w:t xml:space="preserve"> SFE </w:t>
      </w:r>
      <w:r>
        <w:rPr>
          <w:rFonts w:hint="eastAsia"/>
        </w:rPr>
        <w:t xml:space="preserve">辖区管理的现状。在宏观层面，国家集采常态化、医保谈判机制化和医药反腐深水化三重政策压力的叠加，叠加</w:t>
      </w:r>
      <w:r>
        <w:t xml:space="preserve"> 2026 </w:t>
      </w:r>
      <w:r>
        <w:rPr>
          <w:rFonts w:hint="eastAsia"/>
        </w:rPr>
        <w:t xml:space="preserve">年《医药代表管理办法》的实施，使得辖区分配的频率、维度和精度要求全面升级。在管理模式层面，传统手工分配模式存在响应滞后、分配不公、迭代能力不足等固有缺陷，而商业化</w:t>
      </w:r>
      <w:r>
        <w:t xml:space="preserve"> SaaS </w:t>
      </w:r>
      <w:r>
        <w:rPr>
          <w:rFonts w:hint="eastAsia"/>
        </w:rPr>
        <w:t xml:space="preserve">系统在中国市场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rPr>
          <w:rFonts w:hint="eastAsia"/>
        </w:rPr>
        <w:t xml:space="preserve">综合上述分析，当前制药企业辖区管理面临的核心矛盾在于业务需求的复杂性与管理工具的简陋性之间的深刻错配——企业需要一种能够在数分钟内处理数千家医院、数百名代表、数十种约束条件的分配工具，并能够快速生成多套备选方案供管理层决策，而</w:t>
      </w:r>
      <w:r>
        <w:t xml:space="preserve"> Excel </w:t>
      </w:r>
      <w:r>
        <w:rPr>
          <w:rFonts w:hint="eastAsia"/>
        </w:rPr>
        <w:t xml:space="preserve">手工分配与商业化</w:t>
      </w:r>
      <w:r>
        <w:t xml:space="preserve"> SaaS </w:t>
      </w:r>
      <w:r>
        <w:rPr>
          <w:rFonts w:hint="eastAsia"/>
        </w:rPr>
        <w:t xml:space="preserve">系统都无法满足这一需求。引入智能运筹算法可以同时实现多目标优化、复杂约束处理、响应速度提升与场景模拟支持，从”经验驱动”转向”数据驱动”。需要强调的是，智能算法的引入并非要完全取代人的判断，而是要建立”人机协同”的决策机制——算法负责大规模数据计算与多目标优化，业务管理者基于算法输出进行微调与最终决策，把无法量化的业务经验和人际因素纳入考量。下一章将基于本章诊断的业务需求，构建融合综合价值指数、六层地理聚类、模拟退火优化和</w:t>
      </w:r>
      <w:r>
        <w:t xml:space="preserve"> Hungarian </w:t>
      </w:r>
      <w:r>
        <w:rPr>
          <w:rFonts w:hint="eastAsia"/>
        </w:rPr>
        <w:t xml:space="preserve">匹配的两阶段智能辖区分配模型，从数学建模和算法设计的角度提出系统性的解决方案。</w:t>
      </w:r>
    </w:p>
    <w:bookmarkEnd w:id="68"/>
    <w:bookmarkEnd w:id="69"/>
    <w:bookmarkStart w:id="110"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73" w:name="问题定义与模型假设"/>
    <w:p>
      <w:pPr>
        <w:pStyle w:val="Heading2"/>
      </w:pPr>
      <w:r>
        <w:t xml:space="preserve">4.1 </w:t>
      </w:r>
      <w:r>
        <w:rPr>
          <w:rFonts w:hint="eastAsia"/>
        </w:rPr>
        <w:t xml:space="preserve">问题定义与模型假设</w:t>
      </w:r>
    </w:p>
    <w:bookmarkStart w:id="70"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70"/>
    <w:bookmarkStart w:id="71"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71"/>
    <w:bookmarkStart w:id="72"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72"/>
    <w:bookmarkEnd w:id="73"/>
    <w:bookmarkStart w:id="76" w:name="数据特征工程与综合价值指数index构建"/>
    <w:p>
      <w:pPr>
        <w:pStyle w:val="Heading2"/>
      </w:pPr>
      <w:r>
        <w:t xml:space="preserve">4.2 </w:t>
      </w:r>
      <w:r>
        <w:rPr>
          <w:rFonts w:hint="eastAsia"/>
        </w:rPr>
        <w:t xml:space="preserve">数据特征工程与综合价值指数（Index）构建</w:t>
      </w:r>
    </w:p>
    <w:bookmarkStart w:id="74"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Data），包含每家医院在特定产品组下的销售额、处方量、市场潜力评分等业务指标。这些数据来自</w:t>
      </w:r>
      <w:r>
        <w:t xml:space="preserve"> CRM </w:t>
      </w:r>
      <w:r>
        <w:rPr>
          <w:rFonts w:hint="eastAsia"/>
        </w:rPr>
        <w:t xml:space="preserve">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74"/>
    <w:bookmarkStart w:id="75"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bookmarkEnd w:id="75"/>
    <w:bookmarkEnd w:id="76"/>
    <w:bookmarkStart w:id="79" w:name="预处理大医院虚拟拆分机制"/>
    <w:p>
      <w:pPr>
        <w:pStyle w:val="Heading2"/>
      </w:pPr>
      <w:r>
        <w:t xml:space="preserve">4.3 </w:t>
      </w:r>
      <w:r>
        <w:rPr>
          <w:rFonts w:hint="eastAsia"/>
        </w:rPr>
        <w:t xml:space="preserve">预处理：大医院虚拟拆分机制</w:t>
      </w:r>
    </w:p>
    <w:bookmarkStart w:id="77"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bookmarkEnd w:id="77"/>
    <w:bookmarkStart w:id="78"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78"/>
    <w:bookmarkEnd w:id="79"/>
    <w:bookmarkStart w:id="83" w:name="多目标优化模型构建"/>
    <w:p>
      <w:pPr>
        <w:pStyle w:val="Heading2"/>
      </w:pPr>
      <w:r>
        <w:t xml:space="preserve">4.4 </w:t>
      </w:r>
      <w:r>
        <w:rPr>
          <w:rFonts w:hint="eastAsia"/>
        </w:rPr>
        <w:t xml:space="preserve">多目标优化模型构建</w:t>
      </w:r>
    </w:p>
    <w:bookmarkStart w:id="80"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bookmarkEnd w:id="80"/>
    <w:bookmarkStart w:id="81"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81"/>
    <w:bookmarkStart w:id="82"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82"/>
    <w:bookmarkEnd w:id="83"/>
    <w:bookmarkStart w:id="108" w:name="两阶段求解算法设计"/>
    <w:p>
      <w:pPr>
        <w:pStyle w:val="Heading2"/>
      </w:pPr>
      <w:r>
        <w:t xml:space="preserve">4.5 </w:t>
      </w:r>
      <w:r>
        <w:rPr>
          <w:rFonts w:hint="eastAsia"/>
        </w:rPr>
        <w:t xml:space="preserve">两阶段求解算法设计</w:t>
      </w:r>
    </w:p>
    <w:bookmarkStart w:id="87"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85" name="Picture"/>
            <a:graphic>
              <a:graphicData uri="http://schemas.openxmlformats.org/drawingml/2006/picture">
                <pic:pic>
                  <pic:nvPicPr>
                    <pic:cNvPr descr="figures/fig4-1.png" id="86" name="Picture"/>
                    <pic:cNvPicPr>
                      <a:picLocks noChangeArrowheads="1" noChangeAspect="1"/>
                    </pic:cNvPicPr>
                  </pic:nvPicPr>
                  <pic:blipFill>
                    <a:blip r:embed="rId84"/>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t xml:space="preserve">。</w:t>
      </w:r>
    </w:p>
    <w:bookmarkEnd w:id="87"/>
    <w:bookmarkStart w:id="98"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91"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89" name="Picture"/>
            <a:graphic>
              <a:graphicData uri="http://schemas.openxmlformats.org/drawingml/2006/picture">
                <pic:pic>
                  <pic:nvPicPr>
                    <pic:cNvPr descr="figures/fig4-2.png" id="90" name="Picture"/>
                    <pic:cNvPicPr>
                      <a:picLocks noChangeArrowheads="1" noChangeAspect="1"/>
                    </pic:cNvPicPr>
                  </pic:nvPicPr>
                  <pic:blipFill>
                    <a:blip r:embed="rId88"/>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91"/>
    <w:bookmarkStart w:id="92"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92"/>
    <w:bookmarkStart w:id="93"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93"/>
    <w:bookmarkStart w:id="97"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95" name="Picture"/>
            <a:graphic>
              <a:graphicData uri="http://schemas.openxmlformats.org/drawingml/2006/picture">
                <pic:pic>
                  <pic:nvPicPr>
                    <pic:cNvPr descr="figures/fig4-3.png" id="96" name="Picture"/>
                    <pic:cNvPicPr>
                      <a:picLocks noChangeArrowheads="1" noChangeAspect="1"/>
                    </pic:cNvPicPr>
                  </pic:nvPicPr>
                  <pic:blipFill>
                    <a:blip r:embed="rId9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2"/>
        </w:numPr>
      </w:pPr>
      <w:r>
        <w:rPr>
          <w:rFonts w:hint="eastAsia"/>
        </w:rPr>
        <w:t xml:space="preserve">锁定检查：被锁定的非拆分医院不参与任何操作；被锁定的拆分份额只能移动到其允许的辖区集合内。</w:t>
      </w:r>
    </w:p>
    <w:p>
      <w:pPr>
        <w:pStyle w:val="Compact"/>
        <w:numPr>
          <w:ilvl w:val="0"/>
          <w:numId w:val="1002"/>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2"/>
        </w:numPr>
      </w:pPr>
      <w:r>
        <w:rPr>
          <w:rFonts w:hint="eastAsia"/>
        </w:rPr>
        <w:t xml:space="preserve">拆分分散检查：目标辖区中不得已包含同一原始医院的其他份额。</w:t>
      </w:r>
    </w:p>
    <w:p>
      <w:pPr>
        <w:pStyle w:val="Compact"/>
        <w:numPr>
          <w:ilvl w:val="0"/>
          <w:numId w:val="1002"/>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2"/>
        </w:numPr>
      </w:pPr>
      <w:r>
        <w:rPr>
          <w:rFonts w:hint="eastAsia"/>
        </w:rPr>
        <w:t xml:space="preserve">城市上限检查：如果待移入医院来自一个新城市，且目标辖区已达到城市上限，则跳过。</w:t>
      </w:r>
    </w:p>
    <w:p>
      <w:pPr>
        <w:pStyle w:val="Compact"/>
        <w:numPr>
          <w:ilvl w:val="0"/>
          <w:numId w:val="1002"/>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97"/>
    <w:bookmarkEnd w:id="98"/>
    <w:bookmarkStart w:id="107"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99"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99"/>
    <w:bookmarkStart w:id="103"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101" name="Picture"/>
            <a:graphic>
              <a:graphicData uri="http://schemas.openxmlformats.org/drawingml/2006/picture">
                <pic:pic>
                  <pic:nvPicPr>
                    <pic:cNvPr descr="figures/fig4-4.png" id="102" name="Picture"/>
                    <pic:cNvPicPr>
                      <a:picLocks noChangeArrowheads="1" noChangeAspect="1"/>
                    </pic:cNvPicPr>
                  </pic:nvPicPr>
                  <pic:blipFill>
                    <a:blip r:embed="rId100"/>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bookmarkEnd w:id="103"/>
    <w:bookmarkStart w:id="104"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104"/>
    <w:bookmarkStart w:id="105"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105"/>
    <w:bookmarkStart w:id="106"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106"/>
    <w:bookmarkEnd w:id="107"/>
    <w:bookmarkEnd w:id="108"/>
    <w:bookmarkStart w:id="109"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09"/>
    <w:bookmarkEnd w:id="110"/>
    <w:bookmarkStart w:id="145" w:name="参考文献"/>
    <w:p>
      <w:pPr>
        <w:pStyle w:val="Heading1"/>
      </w:pPr>
      <w:r>
        <w:rPr>
          <w:rFonts w:hint="eastAsia"/>
        </w:rPr>
        <w:t xml:space="preserve">参考文献</w:t>
      </w:r>
    </w:p>
    <w:bookmarkStart w:id="144" w:name="refs"/>
    <w:bookmarkStart w:id="112"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11">
        <w:r>
          <w:rPr>
            <w:rStyle w:val="Hyperlink"/>
          </w:rPr>
          <w:t xml:space="preserve">10.16418/j.issn.1000-3045.20241111006</w:t>
        </w:r>
      </w:hyperlink>
      <w:r>
        <w:t xml:space="preserve">.</w:t>
      </w:r>
    </w:p>
    <w:bookmarkEnd w:id="112"/>
    <w:bookmarkStart w:id="113"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13"/>
    <w:bookmarkStart w:id="114"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14"/>
    <w:bookmarkStart w:id="115" w:name="ref-iqvia2025mpchina"/>
    <w:p>
      <w:pPr>
        <w:pStyle w:val="Bibliography"/>
      </w:pPr>
      <w:r>
        <w:t xml:space="preserve">[4] IQVIA INSTITUTE. Market Prognosis 2025-2029: China[R]. IQVIA, 2025.</w:t>
      </w:r>
    </w:p>
    <w:bookmarkEnd w:id="115"/>
    <w:bookmarkStart w:id="116"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16"/>
    <w:bookmarkStart w:id="117"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17"/>
    <w:bookmarkStart w:id="118"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18"/>
    <w:bookmarkStart w:id="119"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19"/>
    <w:bookmarkStart w:id="120"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20"/>
    <w:bookmarkStart w:id="121"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21"/>
    <w:bookmarkStart w:id="122" w:name="ref-hess1971"/>
    <w:p>
      <w:pPr>
        <w:pStyle w:val="Bibliography"/>
      </w:pPr>
      <w:r>
        <w:t xml:space="preserve">[11] HESS S W, SAMUELS S A. Experiences with a sales districting model: Criteria and implementation[J]. Management Science, 1971, 18(4): 41-54.</w:t>
      </w:r>
    </w:p>
    <w:bookmarkEnd w:id="122"/>
    <w:bookmarkStart w:id="123" w:name="ref-zoltners1983"/>
    <w:p>
      <w:pPr>
        <w:pStyle w:val="Bibliography"/>
      </w:pPr>
      <w:r>
        <w:t xml:space="preserve">[12] ZOLTNERS A A, SINHA P. Sales territory alignment: A review and model[J]. Management Science, 1983, 29(11): 1237-1256.</w:t>
      </w:r>
    </w:p>
    <w:bookmarkEnd w:id="123"/>
    <w:bookmarkStart w:id="124"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24"/>
    <w:bookmarkStart w:id="125" w:name="ref-zoltners2000"/>
    <w:p>
      <w:pPr>
        <w:pStyle w:val="Bibliography"/>
      </w:pPr>
      <w:r>
        <w:t xml:space="preserve">[14] ZOLTNERS A A, LORIMER S E. Sales territory alignment: An overlooked productivity tool[J]. Journal of Personal Selling &amp; Sales Management, 2000, 20(3): 139-150.</w:t>
      </w:r>
    </w:p>
    <w:bookmarkEnd w:id="125"/>
    <w:bookmarkStart w:id="126" w:name="ref-zs2016"/>
    <w:p>
      <w:pPr>
        <w:pStyle w:val="Bibliography"/>
      </w:pPr>
      <w:r>
        <w:t xml:space="preserve">[15] ZS ASSOCIATES. Study: Sales force effectiveness initiatives in medtech industry can boost performance up to 8 percent[Z]. PR Newswire, 2016.</w:t>
      </w:r>
    </w:p>
    <w:bookmarkEnd w:id="126"/>
    <w:bookmarkStart w:id="127"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27"/>
    <w:bookmarkStart w:id="128" w:name="ref-kalcsics2005"/>
    <w:p>
      <w:pPr>
        <w:pStyle w:val="Bibliography"/>
      </w:pPr>
      <w:r>
        <w:t xml:space="preserve">[17] KALCSICS J, NICKEL S, SCHRÖDER M. Towards a unified territory design approach – Applications, algorithms and GIS integration: 71[R]. Berichte des Fraunhofer ITWM, 2005.</w:t>
      </w:r>
    </w:p>
    <w:bookmarkEnd w:id="128"/>
    <w:bookmarkStart w:id="129" w:name="ref-zoltners2014"/>
    <w:p>
      <w:pPr>
        <w:pStyle w:val="Bibliography"/>
      </w:pPr>
      <w:r>
        <w:t xml:space="preserve">[18] ZOLTNERS A A, SINHA P, LORIMER S E. The Power of Sales Analytics[M]. Evanston: ZS Associates, 2014.</w:t>
      </w:r>
    </w:p>
    <w:bookmarkEnd w:id="129"/>
    <w:bookmarkStart w:id="130"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30"/>
    <w:bookmarkStart w:id="131"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31"/>
    <w:bookmarkStart w:id="132"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32"/>
    <w:bookmarkStart w:id="134"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33">
        <w:r>
          <w:rPr>
            <w:rStyle w:val="Hyperlink"/>
          </w:rPr>
          <w:t xml:space="preserve">10.14107/j.cnki.kzgc.20250703</w:t>
        </w:r>
      </w:hyperlink>
      <w:r>
        <w:t xml:space="preserve">.</w:t>
      </w:r>
    </w:p>
    <w:bookmarkEnd w:id="134"/>
    <w:bookmarkStart w:id="135"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35"/>
    <w:bookmarkStart w:id="136"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36"/>
    <w:bookmarkStart w:id="137"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37"/>
    <w:bookmarkStart w:id="138"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38"/>
    <w:bookmarkStart w:id="139"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39"/>
    <w:bookmarkStart w:id="140"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40"/>
    <w:bookmarkStart w:id="141"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41"/>
    <w:bookmarkStart w:id="142" w:name="ref-kuhn1955"/>
    <w:p>
      <w:pPr>
        <w:pStyle w:val="Bibliography"/>
      </w:pPr>
      <w:r>
        <w:t xml:space="preserve">[30] KUHN H W. The Hungarian method for the assignment problem[J]. Naval Research Logistics Quarterly, 1955, 2(1-2): 83-97.</w:t>
      </w:r>
    </w:p>
    <w:bookmarkEnd w:id="142"/>
    <w:bookmarkStart w:id="143" w:name="ref-kirkpatrick1983"/>
    <w:p>
      <w:pPr>
        <w:pStyle w:val="Bibliography"/>
      </w:pPr>
      <w:r>
        <w:t xml:space="preserve">[31] KIRKPATRICK S, GELATT C D, VECCHI M P. Optimization by simulated annealing[J]. Science, 1983, 220(4598): 671-680.</w:t>
      </w:r>
    </w:p>
    <w:bookmarkEnd w:id="143"/>
    <w:bookmarkEnd w:id="144"/>
    <w:bookmarkEnd w:id="145"/>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53" Type="http://schemas.openxmlformats.org/officeDocument/2006/relationships/image" Target="media/rId53.png"/><Relationship Id="rId59" Type="http://schemas.openxmlformats.org/officeDocument/2006/relationships/image" Target="media/rId59.png"/><Relationship Id="rId84" Type="http://schemas.openxmlformats.org/officeDocument/2006/relationships/image" Target="media/rId84.png"/><Relationship Id="rId88" Type="http://schemas.openxmlformats.org/officeDocument/2006/relationships/image" Target="media/rId88.png"/><Relationship Id="rId94" Type="http://schemas.openxmlformats.org/officeDocument/2006/relationships/image" Target="media/rId94.png"/><Relationship Id="rId100" Type="http://schemas.openxmlformats.org/officeDocument/2006/relationships/image" Target="media/rId100.png"/><Relationship Id="rId133" Type="http://schemas.openxmlformats.org/officeDocument/2006/relationships/hyperlink" Target="https://doi.org/10.14107/j.cnki.kzgc.20250703" TargetMode="External"/><Relationship Id="rId111"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doi.org/10.14107/j.cnki.kzgc.20250703" TargetMode="External"/><Relationship Id="rId111"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2026-05-17T03:07:58Z</dcterms:created>
  <dcterms:modified xsi:type="dcterms:W3CDTF">2026-05-17T03:07:58Z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