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2"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67"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w:t>
      </w:r>
      <w:r>
        <w:rPr>
          <w:rFonts w:hint="eastAsia"/>
          <w:b/>
          <w:bCs/>
        </w:rPr>
        <w:t xml:space="preserve">它不应替代人类决策，而应作为”中心化基线”由人在回路（Human-in-the-Loop）做局部微调</w:t>
      </w:r>
      <w:r>
        <w:rPr>
          <w:rFonts w:hint="eastAsia"/>
        </w:rPr>
        <w:t xml:space="preserve">。这一原则源于第三章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b/>
          <w:bCs/>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b/>
          <w:bCs/>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b/>
          <w:bCs/>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w:t>
      </w:r>
      <w:r>
        <w:rPr>
          <w:rFonts w:hint="eastAsia"/>
          <w:b/>
          <w:bCs/>
        </w:rPr>
        <w:t xml:space="preserve">把决策逻辑显式化、让人类参与对话的协作平台</w:t>
      </w:r>
      <w:r>
        <w:rPr>
          <w:rFonts w:hint="eastAsia"/>
        </w:rPr>
        <w:t xml:space="preserve">——这正是开题报告所期望的”从’经验驱动的人治’向’数据驱动的智治’跨越”的具体落地形态。</w:t>
      </w:r>
    </w:p>
    <w:bookmarkEnd w:id="165"/>
    <w:bookmarkStart w:id="166"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w:t>
      </w:r>
      <w:r>
        <w:rPr>
          <w:rFonts w:hint="eastAsia"/>
          <w:b/>
          <w:bCs/>
        </w:rPr>
        <w:t xml:space="preserve">按企业</w:t>
      </w:r>
      <w:r>
        <w:rPr>
          <w:b/>
          <w:bCs/>
        </w:rPr>
        <w:t xml:space="preserve"> As-Is </w:t>
      </w:r>
      <w:r>
        <w:rPr>
          <w:rFonts w:hint="eastAsia"/>
          <w:b/>
          <w:bCs/>
        </w:rPr>
        <w:t xml:space="preserve">失衡度分层设计部署节奏</w:t>
      </w:r>
      <w:r>
        <w:rPr>
          <w:rFonts w:hint="eastAsia"/>
        </w:rPr>
        <w:t xml:space="preserve">的核心思路，并在末段精简讨论数据治理与系统集成的基础保障要求。</w:t>
      </w:r>
    </w:p>
    <w:p>
      <w:pPr>
        <w:pStyle w:val="BodyText"/>
      </w:pPr>
      <w:r>
        <w:rPr>
          <w:rFonts w:hint="eastAsia"/>
          <w:b/>
          <w:bCs/>
        </w:rPr>
        <w:t xml:space="preserve">部署节奏的客观依据来自第五章</w:t>
      </w:r>
      <w:r>
        <w:rPr>
          <w:b/>
          <w:bCs/>
        </w:rPr>
        <w:t xml:space="preserve"> 5.3.4 </w:t>
      </w:r>
      <w:r>
        <w:rPr>
          <w:rFonts w:hint="eastAsia"/>
          <w:b/>
          <w:bCs/>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w:t>
      </w:r>
      <w:r>
        <w:rPr>
          <w:rFonts w:hint="eastAsia"/>
          <w:b/>
          <w:bCs/>
        </w:rPr>
        <w:t xml:space="preserve">根据这一客观规律为不同失衡度的省份配置不同强度的过渡机制</w:t>
      </w:r>
      <w:r>
        <w:rPr>
          <w:rFonts w:hint="eastAsia"/>
        </w:rPr>
        <w:t xml:space="preserve">，避免一刀切。具体的分层部署节奏与配套机制见表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b/>
          <w:bCs/>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b/>
          <w:bCs/>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w:t>
      </w:r>
      <w:r>
        <w:rPr>
          <w:rFonts w:hint="eastAsia"/>
          <w:b/>
          <w:bCs/>
        </w:rPr>
        <w:t xml:space="preserve">算法的成功不止技术成功，更是组织变革成功</w:t>
      </w:r>
      <w:r>
        <w:rPr>
          <w:rFonts w:hint="eastAsia"/>
        </w:rPr>
        <w:t xml:space="preserve">——这一判断也将在</w:t>
      </w:r>
      <w:r>
        <w:t xml:space="preserve"> 6.2 </w:t>
      </w:r>
      <w:r>
        <w:rPr>
          <w:rFonts w:hint="eastAsia"/>
        </w:rPr>
        <w:t xml:space="preserve">节的商业价值评估中持续显现。</w:t>
      </w:r>
    </w:p>
    <w:bookmarkEnd w:id="166"/>
    <w:bookmarkEnd w:id="167"/>
    <w:bookmarkStart w:id="170" w:name="算法模型的商业价值评估"/>
    <w:p>
      <w:pPr>
        <w:pStyle w:val="Heading2"/>
      </w:pPr>
      <w:r>
        <w:t xml:space="preserve">6.2 </w:t>
      </w:r>
      <w:r>
        <w:rPr>
          <w:rFonts w:hint="eastAsia"/>
        </w:rPr>
        <w:t xml:space="preserve">算法模型的商业价值评估</w:t>
      </w:r>
    </w:p>
    <w:bookmarkStart w:id="168"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b/>
          <w:bCs/>
        </w:rPr>
        <w:t xml:space="preserve">国内药企崛起带来的”SFE</w:t>
      </w:r>
      <w:r>
        <w:rPr>
          <w:b/>
          <w:bCs/>
        </w:rPr>
        <w:t xml:space="preserve"> </w:t>
      </w:r>
      <w:r>
        <w:rPr>
          <w:rFonts w:hint="eastAsia"/>
          <w:b/>
          <w:bCs/>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rPr>
          <w:b/>
          <w:bCs/>
        </w:rPr>
        <w:t xml:space="preserve">SFE </w:t>
      </w:r>
      <w:r>
        <w:rPr>
          <w:rFonts w:hint="eastAsia"/>
          <w:b/>
          <w:bCs/>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68"/>
    <w:bookmarkStart w:id="169"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部门由</w:t>
            </w:r>
            <w:r>
              <w:t xml:space="preserve"> 30 </w:t>
            </w:r>
            <w:r>
              <w:rPr>
                <w:rFonts w:hint="eastAsia"/>
              </w:rPr>
              <w:t xml:space="preserve">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b/>
          <w:bCs/>
        </w:rPr>
        <w:t xml:space="preserve">形态一：垂类</w:t>
      </w:r>
      <w:r>
        <w:rPr>
          <w:b/>
          <w:bCs/>
        </w:rPr>
        <w:t xml:space="preserve"> Agent + </w:t>
      </w:r>
      <w:r>
        <w:rPr>
          <w:rFonts w:hint="eastAsia"/>
          <w:b/>
          <w:bCs/>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b/>
          <w:bCs/>
        </w:rPr>
        <w:t xml:space="preserve">形态二：SaaS</w:t>
      </w:r>
      <w:r>
        <w:rPr>
          <w:b/>
          <w:bCs/>
        </w:rPr>
        <w:t xml:space="preserve"> </w:t>
      </w:r>
      <w:r>
        <w:rPr>
          <w:rFonts w:hint="eastAsia"/>
          <w:b/>
          <w:bCs/>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b/>
          <w:bCs/>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b/>
          <w:bCs/>
        </w:rPr>
        <w:t xml:space="preserve">早期采用者画像。</w:t>
      </w:r>
      <w:r>
        <w:t xml:space="preserve"> </w:t>
      </w:r>
      <w:r>
        <w:rPr>
          <w:rFonts w:hint="eastAsia"/>
        </w:rPr>
        <w:t xml:space="preserve">综合三种形态的客户画像，本研究算法在商业化早期最具突破潜力的目标客户是</w:t>
      </w:r>
      <w:r>
        <w:rPr>
          <w:rFonts w:hint="eastAsia"/>
          <w:b/>
          <w:bCs/>
        </w:rPr>
        <w:t xml:space="preserve">销售团队规模</w:t>
      </w:r>
      <w:r>
        <w:rPr>
          <w:b/>
          <w:bCs/>
        </w:rPr>
        <w:t xml:space="preserve"> 1,000-3,000 </w:t>
      </w:r>
      <w:r>
        <w:rPr>
          <w:rFonts w:hint="eastAsia"/>
          <w:b/>
          <w:bCs/>
        </w:rPr>
        <w:t xml:space="preserve">人快速扩张期的本土创新药企</w:t>
      </w:r>
      <w:r>
        <w:rPr>
          <w:rFonts w:hint="eastAsia"/>
        </w:rPr>
        <w:t xml:space="preserve">——这一阶段企业刚跨过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69"/>
    <w:bookmarkEnd w:id="170"/>
    <w:bookmarkStart w:id="171"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1"/>
    <w:bookmarkEnd w:id="172"/>
    <w:bookmarkStart w:id="182"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3"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3"/>
    <w:bookmarkStart w:id="180" w:name="a.2-问卷量化题目"/>
    <w:p>
      <w:pPr>
        <w:pStyle w:val="Heading2"/>
      </w:pPr>
      <w:r>
        <w:t xml:space="preserve">A.2 </w:t>
      </w:r>
      <w:r>
        <w:rPr>
          <w:rFonts w:hint="eastAsia"/>
        </w:rPr>
        <w:t xml:space="preserve">问卷量化题目</w:t>
      </w:r>
    </w:p>
    <w:bookmarkStart w:id="174"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4"/>
    <w:bookmarkStart w:id="175"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5"/>
    <w:bookmarkStart w:id="176"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76"/>
    <w:bookmarkStart w:id="177"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77"/>
    <w:bookmarkStart w:id="178"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8"/>
    <w:bookmarkStart w:id="179"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9"/>
    <w:bookmarkEnd w:id="180"/>
    <w:bookmarkStart w:id="181"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1"/>
    <w:bookmarkEnd w:id="182"/>
    <w:bookmarkStart w:id="218" w:name="参考文献"/>
    <w:p>
      <w:pPr>
        <w:pStyle w:val="Heading1"/>
      </w:pPr>
      <w:r>
        <w:rPr>
          <w:rFonts w:hint="eastAsia"/>
        </w:rPr>
        <w:t xml:space="preserve">参考文献</w:t>
      </w:r>
    </w:p>
    <w:bookmarkStart w:id="217" w:name="refs"/>
    <w:bookmarkStart w:id="184"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3">
        <w:r>
          <w:rPr>
            <w:rStyle w:val="Hyperlink"/>
          </w:rPr>
          <w:t xml:space="preserve">10.16418/j.issn.1000-3045.20241111006</w:t>
        </w:r>
      </w:hyperlink>
      <w:r>
        <w:t xml:space="preserve">.</w:t>
      </w:r>
    </w:p>
    <w:bookmarkEnd w:id="184"/>
    <w:bookmarkStart w:id="185"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5"/>
    <w:bookmarkStart w:id="186"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86"/>
    <w:bookmarkStart w:id="187" w:name="ref-iqvia2025mpchina"/>
    <w:p>
      <w:pPr>
        <w:pStyle w:val="Bibliography"/>
      </w:pPr>
      <w:r>
        <w:t xml:space="preserve">[4] IQVIA INSTITUTE. Market Prognosis 2025-2029: China[R]. IQVIA, 2025.</w:t>
      </w:r>
    </w:p>
    <w:bookmarkEnd w:id="187"/>
    <w:bookmarkStart w:id="188"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8"/>
    <w:bookmarkStart w:id="189"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9"/>
    <w:bookmarkStart w:id="190"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0"/>
    <w:bookmarkStart w:id="191"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1"/>
    <w:bookmarkStart w:id="192"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2"/>
    <w:bookmarkStart w:id="193"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3"/>
    <w:bookmarkStart w:id="194" w:name="ref-hess1971"/>
    <w:p>
      <w:pPr>
        <w:pStyle w:val="Bibliography"/>
      </w:pPr>
      <w:r>
        <w:t xml:space="preserve">[11] HESS S W, SAMUELS S A. Experiences with a sales districting model: Criteria and implementation[J]. Management Science, 1971, 18(4): 41-54.</w:t>
      </w:r>
    </w:p>
    <w:bookmarkEnd w:id="194"/>
    <w:bookmarkStart w:id="195" w:name="ref-zoltners1983"/>
    <w:p>
      <w:pPr>
        <w:pStyle w:val="Bibliography"/>
      </w:pPr>
      <w:r>
        <w:t xml:space="preserve">[12] ZOLTNERS A A, SINHA P. Sales territory alignment: A review and model[J]. Management Science, 1983, 29(11): 1237-1256.</w:t>
      </w:r>
    </w:p>
    <w:bookmarkEnd w:id="195"/>
    <w:bookmarkStart w:id="196"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96"/>
    <w:bookmarkStart w:id="197" w:name="ref-zoltners2000"/>
    <w:p>
      <w:pPr>
        <w:pStyle w:val="Bibliography"/>
      </w:pPr>
      <w:r>
        <w:t xml:space="preserve">[14] ZOLTNERS A A, LORIMER S E. Sales territory alignment: An overlooked productivity tool[J]. Journal of Personal Selling &amp; Sales Management, 2000, 20(3): 139-150.</w:t>
      </w:r>
    </w:p>
    <w:bookmarkEnd w:id="197"/>
    <w:bookmarkStart w:id="198" w:name="ref-zs2016"/>
    <w:p>
      <w:pPr>
        <w:pStyle w:val="Bibliography"/>
      </w:pPr>
      <w:r>
        <w:t xml:space="preserve">[15] ZS ASSOCIATES. Study: Sales force effectiveness initiatives in medtech industry can boost performance up to 8 percent[Z]. PR Newswire, 2016.</w:t>
      </w:r>
    </w:p>
    <w:bookmarkEnd w:id="198"/>
    <w:bookmarkStart w:id="199"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9"/>
    <w:bookmarkStart w:id="200" w:name="ref-kalcsics2005"/>
    <w:p>
      <w:pPr>
        <w:pStyle w:val="Bibliography"/>
      </w:pPr>
      <w:r>
        <w:t xml:space="preserve">[17] KALCSICS J, NICKEL S, SCHRÖDER M. Towards a unified territory design approach – Applications, algorithms and GIS integration: 71[R]. Berichte des Fraunhofer ITWM, 2005.</w:t>
      </w:r>
    </w:p>
    <w:bookmarkEnd w:id="200"/>
    <w:bookmarkStart w:id="201" w:name="ref-zoltners2014"/>
    <w:p>
      <w:pPr>
        <w:pStyle w:val="Bibliography"/>
      </w:pPr>
      <w:r>
        <w:t xml:space="preserve">[18] ZOLTNERS A A, SINHA P, LORIMER S E. The Power of Sales Analytics[M]. Evanston: ZS Associates, 2014.</w:t>
      </w:r>
    </w:p>
    <w:bookmarkEnd w:id="201"/>
    <w:bookmarkStart w:id="202"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2"/>
    <w:bookmarkStart w:id="203"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3"/>
    <w:bookmarkStart w:id="204"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4"/>
    <w:bookmarkStart w:id="206"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5">
        <w:r>
          <w:rPr>
            <w:rStyle w:val="Hyperlink"/>
          </w:rPr>
          <w:t xml:space="preserve">10.14107/j.cnki.kzgc.20250703</w:t>
        </w:r>
      </w:hyperlink>
      <w:r>
        <w:t xml:space="preserve">.</w:t>
      </w:r>
    </w:p>
    <w:bookmarkEnd w:id="206"/>
    <w:bookmarkStart w:id="207"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07"/>
    <w:bookmarkStart w:id="208"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8"/>
    <w:bookmarkStart w:id="209"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9"/>
    <w:bookmarkStart w:id="210"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0"/>
    <w:bookmarkStart w:id="211"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1"/>
    <w:bookmarkStart w:id="212"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2"/>
    <w:bookmarkStart w:id="213"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3"/>
    <w:bookmarkStart w:id="214" w:name="ref-kuhn1955"/>
    <w:p>
      <w:pPr>
        <w:pStyle w:val="Bibliography"/>
      </w:pPr>
      <w:r>
        <w:t xml:space="preserve">[30] KUHN H W. The Hungarian method for the assignment problem[J]. Naval Research Logistics Quarterly, 1955, 2(1-2): 83-97.</w:t>
      </w:r>
    </w:p>
    <w:bookmarkEnd w:id="214"/>
    <w:bookmarkStart w:id="215" w:name="ref-kirkpatrick1983"/>
    <w:p>
      <w:pPr>
        <w:pStyle w:val="Bibliography"/>
      </w:pPr>
      <w:r>
        <w:t xml:space="preserve">[31] KIRKPATRICK S, GELATT C D, VECCHI M P. Optimization by simulated annealing[J]. Science, 1983, 220(4598): 671-680.</w:t>
      </w:r>
    </w:p>
    <w:bookmarkEnd w:id="215"/>
    <w:bookmarkStart w:id="216" w:name="ref-aon2025sfe"/>
    <w:p>
      <w:pPr>
        <w:pStyle w:val="Bibliography"/>
      </w:pPr>
      <w:r>
        <w:t xml:space="preserve">[32] AON. 2025 Pharmaceutical Industry Sales Productivity &amp; ROI Survey Report[R]. Aon plc, 2025.</w:t>
      </w:r>
    </w:p>
    <w:bookmarkEnd w:id="216"/>
    <w:bookmarkEnd w:id="217"/>
    <w:bookmarkEnd w:id="218"/>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5" Type="http://schemas.openxmlformats.org/officeDocument/2006/relationships/hyperlink" Target="https://doi.org/10.14107/j.cnki.kzgc.20250703" TargetMode="External"/><Relationship Id="rId183"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5" Type="http://schemas.openxmlformats.org/officeDocument/2006/relationships/hyperlink" Target="https://doi.org/10.14107/j.cnki.kzgc.20250703" TargetMode="External"/><Relationship Id="rId183"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2026-05-30T08:20:18Z</dcterms:created>
  <dcterms:modified xsi:type="dcterms:W3CDTF">2026-05-30T08:20:18Z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