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第一章-绪论"/>
    <w:p>
      <w:pPr>
        <w:pStyle w:val="Heading1"/>
      </w:pPr>
      <w:r>
        <w:rPr>
          <w:rFonts w:hint="eastAsia"/>
        </w:rPr>
        <w:t xml:space="preserve">第一章</w:t>
      </w:r>
      <w:r>
        <w:t xml:space="preserve"> </w:t>
      </w:r>
      <w:r>
        <w:rPr>
          <w:rFonts w:hint="eastAsia"/>
        </w:rPr>
        <w:t xml:space="preserve">绪论</w:t>
      </w:r>
    </w:p>
    <w:bookmarkStart w:id="20" w:name="研究背景"/>
    <w:p>
      <w:pPr>
        <w:pStyle w:val="Heading2"/>
      </w:pPr>
      <w:r>
        <w:t xml:space="preserve">1.1 </w:t>
      </w:r>
      <w:r>
        <w:rPr>
          <w:rFonts w:hint="eastAsia"/>
        </w:rPr>
        <w:t xml:space="preserve">研究背景</w:t>
      </w:r>
    </w:p>
    <w:bookmarkStart w:id="18" w:name="医药行业存量博弈时代的宏观环境"/>
    <w:p>
      <w:pPr>
        <w:pStyle w:val="Heading3"/>
      </w:pPr>
      <w:r>
        <w:t xml:space="preserve">1.1.1 </w:t>
      </w:r>
      <w:r>
        <w:rPr>
          <w:rFonts w:hint="eastAsia"/>
        </w:rPr>
        <w:t xml:space="preserve">医药行业”存量博弈”时代的宏观环境</w:t>
      </w:r>
    </w:p>
    <w:p>
      <w:pPr>
        <w:pStyle w:val="FirstParagraph"/>
      </w:pPr>
      <w:r>
        <w:rPr>
          <w:rFonts w:hint="eastAsia"/>
        </w:rPr>
        <w:t xml:space="preserve">过去十余年间，中国医药行业经历了从高速增长向结构性调整的深刻转型。据弗罗斯特沙利文统计，中国生物药市场空间从2019年的3120亿元预计增至2030年的13030亿元</w:t>
      </w:r>
      <w:r>
        <w:rPr>
          <w:vertAlign w:val="superscript"/>
        </w:rPr>
        <w:t xml:space="preserve">[1]</w:t>
      </w:r>
      <w:r>
        <w:rPr>
          <w:rFonts w:hint="eastAsia"/>
        </w:rPr>
        <w:t xml:space="preserve">，行业整体规模依然在扩大。然而总量增长的表象之下，行业的底层运行逻辑已经发生根本性变化——从过去的”增量扩张”逐步转向”存量博弈”。</w:t>
      </w:r>
    </w:p>
    <w:p>
      <w:pPr>
        <w:pStyle w:val="BodyText"/>
      </w:pPr>
      <w:r>
        <w:rPr>
          <w:rFonts w:hint="eastAsia"/>
        </w:rPr>
        <w:t xml:space="preserve">驱动这一转变的，是三重政策压力的叠加效应。</w:t>
      </w:r>
    </w:p>
    <w:p>
      <w:pPr>
        <w:pStyle w:val="BodyText"/>
      </w:pPr>
      <w:r>
        <w:rPr>
          <w:rFonts w:hint="eastAsia"/>
        </w:rPr>
        <w:t xml:space="preserve">国家集中带量采购（Volume-Based</w:t>
      </w:r>
      <w:r>
        <w:t xml:space="preserve"> Procurement, </w:t>
      </w:r>
      <w:r>
        <w:rPr>
          <w:rFonts w:hint="eastAsia"/>
        </w:rPr>
        <w:t xml:space="preserve">VBP）的常态化是首当其冲的因素。自2018年”4+7”试点以来，国家组织药品集中采购已推进至第十一批，累计覆盖品种超过430个，集采通过”以量换价”的机制把中标药品价格平均压降50%以上，部分品种的降幅甚至超过90%</w:t>
      </w:r>
      <w:r>
        <w:rPr>
          <w:vertAlign w:val="superscript"/>
        </w:rPr>
        <w:t xml:space="preserve">[2]</w:t>
      </w:r>
      <w:r>
        <w:rPr>
          <w:rFonts w:hint="eastAsia"/>
        </w:rPr>
        <w:t xml:space="preserve">。对于以成熟仿制药为核心产品的企业而言，集采直接挤压了其核心品种的利润空间，外资药企更是面临预算腰斩的”极限生存挑战”——它们必须在裁减20%~30%代表编制的前提下，依然保持对90%以上核心高潜医院的覆盖。</w:t>
      </w:r>
    </w:p>
    <w:p>
      <w:pPr>
        <w:pStyle w:val="BodyText"/>
      </w:pPr>
      <w:r>
        <w:rPr>
          <w:rFonts w:hint="eastAsia"/>
        </w:rPr>
        <w:t xml:space="preserve">与此同时，医保谈判机制对创新药定价权的重塑也在持续推进。医保目录动态调整机制的建立大幅缩短了创新药从获批上市到纳入医保的周期，但谈判过程中的降价幅度同样不容忽视，创新药的商业化窗口期被压缩，企业必须在更短的时间窗内实现更高效的市场覆盖，这对销售团队的部署效率提出了前所未有的要求。</w:t>
      </w:r>
    </w:p>
    <w:p>
      <w:pPr>
        <w:pStyle w:val="BodyText"/>
      </w:pPr>
      <w:r>
        <w:rPr>
          <w:rFonts w:hint="eastAsia"/>
        </w:rPr>
        <w:t xml:space="preserve">医药领域反腐的持续深化则从合规端施加压力。2023年以来反腐进入”深水区”，据报道，A股471家医药概念企业2024年上半年的销售费用总额同比下降5.84%，其中276家企业的销售费用率出现同比下降</w:t>
      </w:r>
      <w:r>
        <w:rPr>
          <w:vertAlign w:val="superscript"/>
        </w:rPr>
        <w:t xml:space="preserve">[3]</w:t>
      </w:r>
      <w:r>
        <w:rPr>
          <w:rFonts w:hint="eastAsia"/>
        </w:rPr>
        <w:t xml:space="preserve">，这是行业从未出现过的整体性收缩。反腐高压一方面压缩了企业的市场推广预算，另一方面从根本上改变了医药商业模式——传统”带金销售”模式加速退出历史舞台，企业被迫转向以学术推广为核心的合规化运营。在这种转型过程当中，如何科学地配置有限的销售资源，让每一位销售代表的覆盖范围与工作量达到最优均衡，成为企业生存与发展的关键命题。</w:t>
      </w:r>
    </w:p>
    <w:p>
      <w:pPr>
        <w:pStyle w:val="BodyText"/>
      </w:pPr>
      <w:r>
        <w:rPr>
          <w:rFonts w:hint="eastAsia"/>
        </w:rPr>
        <w:t xml:space="preserve">三重压力共同作用之下，中国医药行业呈现出一种结构性的”双向挤压”格局。外资药企因核心产品进入集采而面临战略收缩，需要以更少的人力覆盖同等甚至更大的市场；本土生物科技公司在政策红利下迅速扩张，但其内部管理职能——尤其是销售力有效性（Sales</w:t>
      </w:r>
      <w:r>
        <w:t xml:space="preserve"> Force Effectiveness, </w:t>
      </w:r>
      <w:r>
        <w:rPr>
          <w:rFonts w:hint="eastAsia"/>
        </w:rPr>
        <w:t xml:space="preserve">SFE）管理——仍然处于萌芽阶段，往往由一线业务人员主导资源分配，陷入”既是运动员又是裁判员”的困境。无论是收缩还是扩张，企业都迫切需要一套科学、高效的辖区分配方法论来替代传统的经验驱动模式。</w:t>
      </w:r>
    </w:p>
    <w:bookmarkEnd w:id="18"/>
    <w:bookmarkStart w:id="19" w:name="制药企业精细化管理转型的迫切需求"/>
    <w:p>
      <w:pPr>
        <w:pStyle w:val="Heading3"/>
      </w:pPr>
      <w:r>
        <w:t xml:space="preserve">1.1.2 </w:t>
      </w:r>
      <w:r>
        <w:rPr>
          <w:rFonts w:hint="eastAsia"/>
        </w:rPr>
        <w:t xml:space="preserve">制药企业精细化管理转型的迫切需求</w:t>
      </w:r>
    </w:p>
    <w:p>
      <w:pPr>
        <w:pStyle w:val="FirstParagraph"/>
      </w:pPr>
      <w:r>
        <w:rPr>
          <w:rFonts w:hint="eastAsia"/>
        </w:rPr>
        <w:t xml:space="preserve">销售辖区分配（Sales</w:t>
      </w:r>
      <w:r>
        <w:t xml:space="preserve"> Territory </w:t>
      </w:r>
      <w:r>
        <w:rPr>
          <w:rFonts w:hint="eastAsia"/>
        </w:rPr>
        <w:t xml:space="preserve">Alignment）是企业SFE管理体系中的关键业务流程，其本质是一个高度复杂的资源配置与空间优化问题。在制药企业中，辖区分配的核心任务是将数千家目标医院终端合理地分配给数百名销售代表，使得每位代表的工作量与销售潜力达到相对均衡，同时兼顾地理紧凑性、客户关系连续性以及组织架构约束等多维目标。</w:t>
      </w:r>
    </w:p>
    <w:p>
      <w:pPr>
        <w:pStyle w:val="BodyText"/>
      </w:pPr>
      <w:r>
        <w:rPr>
          <w:rFonts w:hint="eastAsia"/>
        </w:rPr>
        <w:t xml:space="preserve">然而，当前绝大多数制药企业的辖区分配仍采取”人力密集型”的作业模式。中央SFE团队与数百名一线销售经理深度依赖Excel进行庞杂的数据拆解，并在”自下而上”的指标分配中展开旷日持久的跨部门人工博弈与沟通拉扯。在过去医药行业高增长的”黄金时代”，企业尚能以高昂的利润掩盖这种低效带来的隐性摩擦成本。但在当前利润空间被急剧压缩的环境下，这种完全依赖人工操作、响应极度滞后且充斥着沟通内耗的传统管理模式，其所产生的人力成本与时间沉没成本已令企业不堪重负。</w:t>
      </w:r>
    </w:p>
    <w:p>
      <w:pPr>
        <w:pStyle w:val="BodyText"/>
      </w:pPr>
      <w:r>
        <w:rPr>
          <w:rFonts w:hint="eastAsia"/>
        </w:rPr>
        <w:t xml:space="preserve">与此同时，制药企业的SFE部门天然拥有海量的沉淀数据。CRM系统中的医生分级数据、流向数据、处方数据等构成了一座”数据富矿”。然而，由于缺乏高级运筹智能算法的技术加持，中央管理团队在进行宏观排兵布阵时，往往只能提供颗粒度极粗的先验测算，甚至最终沦为一线人员基于人情和经验的Excel手工博弈</w:t>
      </w:r>
      <w:r>
        <w:rPr>
          <w:vertAlign w:val="superscript"/>
        </w:rPr>
        <w:t xml:space="preserve">[4]</w:t>
      </w:r>
      <w:r>
        <w:rPr>
          <w:rFonts w:hint="eastAsia"/>
        </w:rPr>
        <w:t xml:space="preserve">。王晓玲（2024）指出，我国生物医药行业数字化转型受限于数据基础不足、复合背景人才短缺等瓶颈，转型进展相对落后</w:t>
      </w:r>
      <w:r>
        <w:rPr>
          <w:vertAlign w:val="superscript"/>
        </w:rPr>
        <w:t xml:space="preserve">[5]</w:t>
      </w:r>
      <w:r>
        <w:rPr>
          <w:rFonts w:hint="eastAsia"/>
        </w:rPr>
        <w:t xml:space="preserve">。这种”数据丰富、算法贫乏”的矛盾，正是制药企业精细化管理转型中亟待突破的核心瓶颈。</w:t>
      </w:r>
    </w:p>
    <w:p>
      <w:pPr>
        <w:pStyle w:val="BodyText"/>
      </w:pPr>
      <w:r>
        <w:rPr>
          <w:rFonts w:hint="eastAsia"/>
        </w:rPr>
        <w:t xml:space="preserve">在商业化解决方案层面，全球领先的数据与技术巨头（如IQVIA、Veeva等）曾斥巨资开发专用于辖区分配的标准化SaaS系统。然而，这些系统在向中国市场落地时遭遇了严重的”水土不服”。医药行业的微观辖区管理具有极强的动态性与非标准性——不同企业、不同生命周期的产品线，甚至同一企业在不同省份，其业务规则都存在极大的差异与频繁的变动。这种过于灵活且非线性的业务规则，导致大型SaaS系统难以在底层架构上完成有效的数据抽象与业务流程泛化，最终陷入无休止的”高度定制化开发”泥潭，背离了SaaS产品边际成本递减的商业逻辑。</w:t>
      </w:r>
    </w:p>
    <w:p>
      <w:pPr>
        <w:pStyle w:val="BodyText"/>
      </w:pPr>
      <w:r>
        <w:rPr>
          <w:rFonts w:hint="eastAsia"/>
        </w:rPr>
        <w:t xml:space="preserve">上述行业现状表明，传统的”刚性SaaS系统”与”纯手工Excel执行”均已陷入死胡同。行业迫切需要一种轻量化、可配置、基于运筹优化算法的智能辖区分配解决方案，以填补从”数据富矿”到”智能决策”之间的技术鸿沟。这正是本研究的出发点。</w:t>
      </w:r>
    </w:p>
    <w:bookmarkEnd w:id="19"/>
    <w:bookmarkEnd w:id="20"/>
    <w:bookmarkStart w:id="23" w:name="研究意义"/>
    <w:p>
      <w:pPr>
        <w:pStyle w:val="Heading2"/>
      </w:pPr>
      <w:r>
        <w:t xml:space="preserve">1.2 </w:t>
      </w:r>
      <w:r>
        <w:rPr>
          <w:rFonts w:hint="eastAsia"/>
        </w:rPr>
        <w:t xml:space="preserve">研究意义</w:t>
      </w:r>
    </w:p>
    <w:bookmarkStart w:id="21" w:name="理论意义填补-sfe-领域动态分配模型空白"/>
    <w:p>
      <w:pPr>
        <w:pStyle w:val="Heading3"/>
      </w:pPr>
      <w:r>
        <w:t xml:space="preserve">1.2.1 </w:t>
      </w:r>
      <w:r>
        <w:rPr>
          <w:rFonts w:hint="eastAsia"/>
        </w:rPr>
        <w:t xml:space="preserve">理论意义：填补</w:t>
      </w:r>
      <w:r>
        <w:t xml:space="preserve"> SFE </w:t>
      </w:r>
      <w:r>
        <w:rPr>
          <w:rFonts w:hint="eastAsia"/>
        </w:rPr>
        <w:t xml:space="preserve">领域动态分配模型空白</w:t>
      </w:r>
    </w:p>
    <w:p>
      <w:pPr>
        <w:pStyle w:val="FirstParagraph"/>
      </w:pPr>
      <w:r>
        <w:rPr>
          <w:rFonts w:hint="eastAsia"/>
        </w:rPr>
        <w:t xml:space="preserve">纵观国内外关于销售辖区分配的研究，该领域的演进呈现出从”单纯数学规划”向”商业多目标启发式求解”跨越，从”通用销售”向”医药行业垂直定制”深化的显著特征。在国外，Hess和Samuels（1971）率先将线性规划应用于销售辖区划分</w:t>
      </w:r>
      <w:r>
        <w:rPr>
          <w:vertAlign w:val="superscript"/>
        </w:rPr>
        <w:t xml:space="preserve">[6]</w:t>
      </w:r>
      <w:r>
        <w:rPr>
          <w:rFonts w:hint="eastAsia"/>
        </w:rPr>
        <w:t xml:space="preserve">；Zoltners和Sinha（1983）提出了辖区分配必须满足的四个核心属性框架</w:t>
      </w:r>
      <w:r>
        <w:rPr>
          <w:vertAlign w:val="superscript"/>
        </w:rPr>
        <w:t xml:space="preserve">[7]</w:t>
      </w:r>
      <w:r>
        <w:rPr>
          <w:rFonts w:hint="eastAsia"/>
        </w:rPr>
        <w:t xml:space="preserve">；Skiera和Jordan（1996）通过EQUALIZER模型引入模拟退火与惩罚函数机制，解决了传统精确模型在27%测试算例中无法找到可行解的问题</w:t>
      </w:r>
      <w:r>
        <w:rPr>
          <w:vertAlign w:val="superscript"/>
        </w:rPr>
        <w:t xml:space="preserve">[8]</w:t>
      </w:r>
      <w:r>
        <w:rPr>
          <w:rFonts w:hint="eastAsia"/>
        </w:rPr>
        <w:t xml:space="preserve">。然而，上述研究主要面向欧美市场的通用销售场景，其模型假设与中国医药行业的商业现实之间存在显著差距。</w:t>
      </w:r>
    </w:p>
    <w:p>
      <w:pPr>
        <w:pStyle w:val="BodyText"/>
      </w:pPr>
      <w:r>
        <w:rPr>
          <w:rFonts w:hint="eastAsia"/>
        </w:rPr>
        <w:t xml:space="preserve">在国内，运筹优化算法在物流配送、供应链选址、城市网格化管理等通用领域的应用研究极为丰富，但针对医药行业特有商业逻辑的辖区分配模型的学术文献相对匮乏。现有的国内研究在处理”销售潜力均衡”、</w:t>
      </w:r>
      <w:r>
        <w:rPr>
          <w:rFonts w:hint="eastAsia"/>
        </w:rPr>
        <w:t xml:space="preserve">“客户关系连续性”</w:t>
      </w:r>
      <w:r>
        <w:rPr>
          <w:rFonts w:hint="eastAsia"/>
        </w:rPr>
        <w:t xml:space="preserve">以及”代表激励公平性”等SFE场景下的微妙商业维度时，尚未形成成熟的理论体系。</w:t>
      </w:r>
    </w:p>
    <w:p>
      <w:pPr>
        <w:pStyle w:val="BodyText"/>
      </w:pPr>
      <w:r>
        <w:rPr>
          <w:rFonts w:hint="eastAsia"/>
        </w:rPr>
        <w:t xml:space="preserve">本文的理论贡献体现在三个方面。一方面，搭建了一个融合中国医药行业特有业务规则（包括大医院共岗拆分、区县行政约束、锁定分配等）的多目标优化数学模型。另一方面，提出了”均衡优化—历史匹配”的两阶段求解框架，将辖区均衡性与历史延续性解耦为两个独立的优化阶段，避免了传统方法中两个目标相互妥协的问题。除此之外，设计了六层地理聚类算法作为模拟退火的初始解生成策略，明显提升了启发式搜索的收敛效率。</w:t>
      </w:r>
    </w:p>
    <w:bookmarkEnd w:id="21"/>
    <w:bookmarkStart w:id="22" w:name="实践意义解决企业辖区划分效率与公平难题"/>
    <w:p>
      <w:pPr>
        <w:pStyle w:val="Heading3"/>
      </w:pPr>
      <w:r>
        <w:t xml:space="preserve">1.2.2 </w:t>
      </w:r>
      <w:r>
        <w:rPr>
          <w:rFonts w:hint="eastAsia"/>
        </w:rPr>
        <w:t xml:space="preserve">实践意义：解决企业辖区划分效率与公平难题</w:t>
      </w:r>
    </w:p>
    <w:p>
      <w:pPr>
        <w:pStyle w:val="FirstParagraph"/>
      </w:pPr>
      <w:r>
        <w:rPr>
          <w:rFonts w:hint="eastAsia"/>
        </w:rPr>
        <w:t xml:space="preserve">从实践角度看，本文的意义体现在以下三个层面。</w:t>
      </w:r>
    </w:p>
    <w:p>
      <w:pPr>
        <w:pStyle w:val="BodyText"/>
      </w:pPr>
      <w:r>
        <w:rPr>
          <w:rFonts w:hint="eastAsia"/>
        </w:rPr>
        <w:t xml:space="preserve">其一是提升辖区分配的科学性与公平性。Zoltners和Lorimer（2000）的实证研究表明，仅通过算法优化辖区分配，无需增加任何额外资源，就能直接带来2%到7%的销售额提升，同时减少13.7%的差旅时间</w:t>
      </w:r>
      <w:r>
        <w:rPr>
          <w:vertAlign w:val="superscript"/>
        </w:rPr>
        <w:t xml:space="preserve">[9]</w:t>
      </w:r>
      <w:r>
        <w:rPr>
          <w:rFonts w:hint="eastAsia"/>
        </w:rPr>
        <w:t xml:space="preserve">，这一发现说明算法优化的价值远不止于行政效率。本文所搭建的算法模型依据阈值化的统一惩罚框架，将Index均衡度、地理紧凑性、容量约束等多维目标纳入到统一的代价函数中，能在数分钟内输出满足多重约束的近似最优分配方案，从根本上替代耗时数周的人工博弈过程。</w:t>
      </w:r>
    </w:p>
    <w:p>
      <w:pPr>
        <w:pStyle w:val="BodyText"/>
      </w:pPr>
      <w:r>
        <w:rPr>
          <w:rFonts w:hint="eastAsia"/>
        </w:rPr>
        <w:t xml:space="preserve">其二是降低组织变革的震荡成本。在制药企业频繁的组织架构调整里——比如裁员合并、新产品上市扩编等——辖区的重新分配往往伴随着客户关系的断裂以及短期业绩的波动。本文给出的两阶段法借助Hungarian算法在第二阶段实现匿名簇与历史辖区的最优匹配，最大化客户保留率，从而有效降低了辖区调整所带来的业务震荡。</w:t>
      </w:r>
    </w:p>
    <w:p>
      <w:pPr>
        <w:pStyle w:val="BodyText"/>
      </w:pPr>
      <w:r>
        <w:rPr>
          <w:rFonts w:hint="eastAsia"/>
        </w:rPr>
        <w:t xml:space="preserve">最后是为算法的商业化落地提供可行路径。此项研究不只停留在算法层面，还探讨了”人机协同”决策机制的建立、组织变革管理策略以及算法产品化的商业模式，为制药企业乃至更广泛的销售密集型行业提供了从算法研发到商业落地的完整参考框架。</w:t>
      </w:r>
    </w:p>
    <w:bookmarkEnd w:id="22"/>
    <w:bookmarkEnd w:id="23"/>
    <w:bookmarkStart w:id="30" w:name="研究内容与技术路线"/>
    <w:p>
      <w:pPr>
        <w:pStyle w:val="Heading2"/>
      </w:pPr>
      <w:r>
        <w:t xml:space="preserve">1.3 </w:t>
      </w:r>
      <w:r>
        <w:rPr>
          <w:rFonts w:hint="eastAsia"/>
        </w:rPr>
        <w:t xml:space="preserve">研究内容与技术路线</w:t>
      </w:r>
    </w:p>
    <w:bookmarkStart w:id="24" w:name="主要研究内容"/>
    <w:p>
      <w:pPr>
        <w:pStyle w:val="Heading3"/>
      </w:pPr>
      <w:r>
        <w:t xml:space="preserve">1.3.1 </w:t>
      </w:r>
      <w:r>
        <w:rPr>
          <w:rFonts w:hint="eastAsia"/>
        </w:rPr>
        <w:t xml:space="preserve">主要研究内容</w:t>
      </w:r>
    </w:p>
    <w:p>
      <w:pPr>
        <w:pStyle w:val="FirstParagraph"/>
      </w:pPr>
      <w:r>
        <w:rPr>
          <w:rFonts w:hint="eastAsia"/>
        </w:rPr>
        <w:t xml:space="preserve">围绕”如何利用运筹优化算法实现制药企业SFE辖区的科学动态分配”这一核心问题，本文的研究内容包括以下四个方面。</w:t>
      </w:r>
    </w:p>
    <w:p>
      <w:pPr>
        <w:pStyle w:val="BodyText"/>
      </w:pPr>
      <w:r>
        <w:rPr>
          <w:rFonts w:hint="eastAsia"/>
        </w:rPr>
        <w:t xml:space="preserve">第一是深入剖析医药行业销售辖区管理的现状与痛点。通过对国家集采常态化、医保谈判及反腐深化等政策背景的剖析，结合某跨国药企的真实案例，全面诊断当前辖区管理模式中存在的区域分配不公、响应滞后、数据支撑缺失等核心痛点，并据此论证引入智能算法的必要性。</w:t>
      </w:r>
    </w:p>
    <w:p>
      <w:pPr>
        <w:pStyle w:val="BodyText"/>
      </w:pPr>
      <w:r>
        <w:rPr>
          <w:rFonts w:hint="eastAsia"/>
        </w:rPr>
        <w:t xml:space="preserve">第二是构建依据综合价值指数的多目标优化数学模型。针对中国医药行业的特有业务规则，设计医院综合价值指数（Index）的量化方法，建立包含Index均衡度、地理紧凑性、容量约束、区县集中度等多维目标的统一惩罚函数，并明确硬约束（锁定分配、拆分分散、城市上限）与软约束的边界。</w:t>
      </w:r>
    </w:p>
    <w:p>
      <w:pPr>
        <w:pStyle w:val="BodyText"/>
      </w:pPr>
      <w:r>
        <w:rPr>
          <w:rFonts w:hint="eastAsia"/>
        </w:rPr>
        <w:t xml:space="preserve">第三是设计并实现”均衡优化—历史匹配”两阶段求解算法。其中第一阶段采用六层地理聚类生成初始分配方案，再借助模拟退火算法进行均衡性优化；第二阶段采用Hungarian算法将第一阶段产出的匿名簇映射到历史辖区编号，最大化客户保留率。两阶段的解耦设计使均衡性与历史延续性各自达到最优，构成本文的核心技术贡献。</w:t>
      </w:r>
    </w:p>
    <w:p>
      <w:pPr>
        <w:pStyle w:val="BodyText"/>
      </w:pPr>
      <w:r>
        <w:rPr>
          <w:rFonts w:hint="eastAsia"/>
        </w:rPr>
        <w:t xml:space="preserve">第四是开展实证分析与商业化前景评估。依据某跨国药企的脱敏数据，在常规微调、裁员合并、组织扩张三种典型业务场景下验证算法效果，并从”人机协同”决策机制、变革管理策略、商业模式等角度探讨算法的落地路径与商业价值。</w:t>
      </w:r>
    </w:p>
    <w:bookmarkEnd w:id="24"/>
    <w:bookmarkStart w:id="25" w:name="研究方法"/>
    <w:p>
      <w:pPr>
        <w:pStyle w:val="Heading3"/>
      </w:pPr>
      <w:r>
        <w:t xml:space="preserve">1.3.2 </w:t>
      </w:r>
      <w:r>
        <w:rPr>
          <w:rFonts w:hint="eastAsia"/>
        </w:rPr>
        <w:t xml:space="preserve">研究方法</w:t>
      </w:r>
    </w:p>
    <w:p>
      <w:pPr>
        <w:pStyle w:val="FirstParagraph"/>
      </w:pPr>
      <w:r>
        <w:rPr>
          <w:rFonts w:hint="eastAsia"/>
        </w:rPr>
        <w:t xml:space="preserve">本文采用定量分析与定性分析相结合的研究方法。在文献研究层面，系统梳理国内外销售辖区分配领域的理论演进，从经典精确算法到启发式算法再到商业化落地，识别现有研究的局限性以及本文的切入点。在数学建模与算法设计层面，将辖区分配问题抽象为带约束的多目标组合优化问题，搭建基于阈值惩罚的代价函数，设计六层地理聚类、模拟退火、Hungarian匹配三阶段求解算法，并通过TypeScript完成算法原型的开发。</w:t>
      </w:r>
    </w:p>
    <w:p>
      <w:pPr>
        <w:pStyle w:val="BodyText"/>
      </w:pPr>
      <w:r>
        <w:rPr>
          <w:rFonts w:hint="eastAsia"/>
        </w:rPr>
        <w:t xml:space="preserve">在案例研究层面，以某跨国制药企业为研究对象，获取其脱敏后的医院清单、辖区配置、历史分配等数据，作为算法验证的实证基础。除此之外还设计了对比实验与敏感性分析——通过As-Is（现状人工分配）与To-Be（算法优化分配）的对照设计，从Index均衡度、地理紧凑性、客户保留率等维度量化算法的改善效果，并借助关键参数的敏感性测试验证算法的稳健性。</w:t>
      </w:r>
    </w:p>
    <w:bookmarkEnd w:id="25"/>
    <w:bookmarkStart w:id="29" w:name="论文结构与技术路线图"/>
    <w:p>
      <w:pPr>
        <w:pStyle w:val="Heading3"/>
      </w:pPr>
      <w:r>
        <w:t xml:space="preserve">1.3.3 </w:t>
      </w:r>
      <w:r>
        <w:rPr>
          <w:rFonts w:hint="eastAsia"/>
        </w:rPr>
        <w:t xml:space="preserve">论文结构与技术路线图</w:t>
      </w:r>
    </w:p>
    <w:p>
      <w:pPr>
        <w:pStyle w:val="FirstParagraph"/>
      </w:pPr>
      <w:r>
        <w:rPr>
          <w:rFonts w:hint="eastAsia"/>
        </w:rPr>
        <w:t xml:space="preserve">本论文共分为七章。第一章绪论部分阐述研究背景、研究意义、主要研究内容与研究方法，概述论文整体结构。第二章理论基础与文献综述系统梳理SFE管理理论与销售辖区分配算法的研究演进，从经典精确算法、启发式算法到现代商业化体系融合三个阶段进行综述，分析国内相关研究现状，并指出现有研究的局限性与本文的改进思路。</w:t>
      </w:r>
    </w:p>
    <w:p>
      <w:pPr>
        <w:pStyle w:val="BodyText"/>
      </w:pPr>
      <w:r>
        <w:rPr>
          <w:rFonts w:hint="eastAsia"/>
        </w:rPr>
        <w:t xml:space="preserve">第三章制药企业SFE辖区管理现状与痛点诊断分析医药行业宏观政策环境，以某跨国药企为案例剖析现行辖区管理模式，诊断核心痛点并论证引入智能算法的必要性。第四章作为论文的技术核心，定义问题与模型假设，搭建综合价值指数与多目标优化模型，详细阐述两阶段求解算法的设计——含六层地理聚类、模拟退火优化以及Hungarian历史匹配。第五章实证分析与多场景模拟验证依据脱敏数据开展算法效果验证，在三种典型业务场景下进行压力测试，并进行算法性能与敏感性分析。</w:t>
      </w:r>
    </w:p>
    <w:p>
      <w:pPr>
        <w:pStyle w:val="BodyText"/>
      </w:pPr>
      <w:r>
        <w:rPr>
          <w:rFonts w:hint="eastAsia"/>
        </w:rPr>
        <w:t xml:space="preserve">第六章企业内部管理的配套及算法的商业化前景评估，探讨”人机协同”决策机制、变革管理策略、数据治理保障，以及算法模型的商业价值与行业推广可行性。第七章结论与展望则总结主要研究结论与创新点，分析研究不足并提出未来展望。</w:t>
      </w:r>
    </w:p>
    <w:p>
      <w:pPr>
        <w:pStyle w:val="BodyText"/>
      </w:pPr>
      <w:r>
        <w:rPr>
          <w:rFonts w:hint="eastAsia"/>
        </w:rPr>
        <w:t xml:space="preserve">整体的研究技术路线如图1-1所示。</w:t>
      </w:r>
    </w:p>
    <w:p>
      <w:pPr>
        <w:pStyle w:val="CaptionedFigure"/>
      </w:pPr>
      <w:r>
        <w:drawing>
          <wp:inline>
            <wp:extent cx="5395249" cy="2683879"/>
            <wp:effectExtent b="0" l="0" r="0" t="0"/>
            <wp:docPr descr="图 1-1 本研究技术路线图" title="" id="27" name="Picture"/>
            <a:graphic>
              <a:graphicData uri="http://schemas.openxmlformats.org/drawingml/2006/picture">
                <pic:pic>
                  <pic:nvPicPr>
                    <pic:cNvPr descr="figures/fig1-1.png" id="28" name="Picture"/>
                    <pic:cNvPicPr>
                      <a:picLocks noChangeArrowheads="1" noChangeAspect="1"/>
                    </pic:cNvPicPr>
                  </pic:nvPicPr>
                  <pic:blipFill>
                    <a:blip r:embed="rId26"/>
                    <a:stretch>
                      <a:fillRect/>
                    </a:stretch>
                  </pic:blipFill>
                  <pic:spPr bwMode="auto">
                    <a:xfrm>
                      <a:off x="0" y="0"/>
                      <a:ext cx="5395249" cy="2683879"/>
                    </a:xfrm>
                    <a:prstGeom prst="rect">
                      <a:avLst/>
                    </a:prstGeom>
                    <a:noFill/>
                    <a:ln w="9525">
                      <a:noFill/>
                      <a:headEnd/>
                      <a:tailEnd/>
                    </a:ln>
                  </pic:spPr>
                </pic:pic>
              </a:graphicData>
            </a:graphic>
          </wp:inline>
        </w:drawing>
      </w:r>
    </w:p>
    <w:p>
      <w:pPr>
        <w:pStyle w:val="ImageCaption"/>
      </w:pPr>
      <w:r>
        <w:rPr>
          <w:rFonts w:hint="eastAsia"/>
        </w:rPr>
        <w:t xml:space="preserve">图</w:t>
      </w:r>
      <w:r>
        <w:t xml:space="preserve"> 1-1 </w:t>
      </w:r>
      <w:r>
        <w:rPr>
          <w:rFonts w:hint="eastAsia"/>
        </w:rPr>
        <w:t xml:space="preserve">本研究技术路线图</w:t>
      </w:r>
    </w:p>
    <w:bookmarkEnd w:id="29"/>
    <w:bookmarkEnd w:id="30"/>
    <w:bookmarkStart w:id="31" w:name="本章小结"/>
    <w:p>
      <w:pPr>
        <w:pStyle w:val="Heading2"/>
      </w:pPr>
      <w:r>
        <w:t xml:space="preserve">1.4 </w:t>
      </w:r>
      <w:r>
        <w:rPr>
          <w:rFonts w:hint="eastAsia"/>
        </w:rPr>
        <w:t xml:space="preserve">本章小结</w:t>
      </w:r>
    </w:p>
    <w:p>
      <w:pPr>
        <w:pStyle w:val="FirstParagraph"/>
      </w:pPr>
      <w:r>
        <w:rPr>
          <w:rFonts w:hint="eastAsia"/>
        </w:rPr>
        <w:t xml:space="preserve">本章从医药行业”存量博弈”的宏观环境切入，剖析了国家集采常态化、医保谈判深化以及反腐高压三重政策压力对制药企业销售管理模式的冲击，指出当前辖区分配中”数据丰富、算法贫乏”的核心矛盾，以及传统SaaS系统与手工Excel模式所共同陷入的双重困境。在此基础上，阐述了本文在理论层面（搭建融合中国医药业务规则的两阶段优化模型）和实践层面（提升分配科学性、降低震荡成本、探索商业化路径）的双重意义，并明确了核心研究内容、研究方法与七章论文结构。</w:t>
      </w:r>
    </w:p>
    <w:p>
      <w:pPr>
        <w:pStyle w:val="BodyText"/>
      </w:pPr>
      <w:r>
        <w:rPr>
          <w:rFonts w:hint="eastAsia"/>
        </w:rPr>
        <w:t xml:space="preserve">下一章将系统梳理SFE管理理论与销售辖区分配算法的研究演进，为后续的模型构建与算法设计奠定理论基础。</w:t>
      </w:r>
    </w:p>
    <w:p>
      <w:r>
        <w:pict>
          <v:rect style="width:0;height:1.5pt" o:hralign="center" o:hrstd="t" o:hr="t"/>
        </w:pict>
      </w:r>
    </w:p>
    <w:p>
      <w:pPr>
        <w:pStyle w:val="FirstParagraph"/>
      </w:pPr>
      <w:r>
        <w:rPr>
          <w:rFonts w:hint="eastAsia"/>
          <w:b/>
          <w:bCs/>
        </w:rPr>
        <w:t xml:space="preserve">本章参考文献：</w:t>
      </w:r>
    </w:p>
    <w:p>
      <w:pPr>
        <w:pStyle w:val="BodyText"/>
      </w:pPr>
      <w:r>
        <w:t xml:space="preserve">[1] </w:t>
      </w:r>
      <w:r>
        <w:rPr>
          <w:rFonts w:hint="eastAsia"/>
        </w:rPr>
        <w:t xml:space="preserve">孙旭然.</w:t>
      </w:r>
      <w:r>
        <w:t xml:space="preserve"> </w:t>
      </w:r>
      <w:r>
        <w:rPr>
          <w:rFonts w:hint="eastAsia"/>
        </w:rPr>
        <w:t xml:space="preserve">生物医药行业发展趋势与机遇分析[J].</w:t>
      </w:r>
      <w:r>
        <w:t xml:space="preserve"> </w:t>
      </w:r>
      <w:r>
        <w:rPr>
          <w:rFonts w:hint="eastAsia"/>
        </w:rPr>
        <w:t xml:space="preserve">中国国情国力,</w:t>
      </w:r>
      <w:r>
        <w:t xml:space="preserve"> 2022(8): 25-30.</w:t>
      </w:r>
    </w:p>
    <w:p>
      <w:pPr>
        <w:pStyle w:val="BodyText"/>
      </w:pPr>
      <w:r>
        <w:t xml:space="preserve">[2] </w:t>
      </w:r>
      <w:r>
        <w:rPr>
          <w:rFonts w:hint="eastAsia"/>
        </w:rPr>
        <w:t xml:space="preserve">国家医疗保障局.</w:t>
      </w:r>
      <w:r>
        <w:t xml:space="preserve"> </w:t>
      </w:r>
      <w:r>
        <w:rPr>
          <w:rFonts w:hint="eastAsia"/>
        </w:rPr>
        <w:t xml:space="preserve">国家组织药品集中采购相关数据,</w:t>
      </w:r>
      <w:r>
        <w:t xml:space="preserve"> 2018-2025.</w:t>
      </w:r>
    </w:p>
    <w:p>
      <w:pPr>
        <w:pStyle w:val="BodyText"/>
      </w:pPr>
      <w:r>
        <w:t xml:space="preserve">[3] </w:t>
      </w:r>
      <w:r>
        <w:rPr>
          <w:rFonts w:hint="eastAsia"/>
        </w:rPr>
        <w:t xml:space="preserve">章梦晗.</w:t>
      </w:r>
      <w:r>
        <w:t xml:space="preserve"> </w:t>
      </w:r>
      <w:r>
        <w:rPr>
          <w:rFonts w:hint="eastAsia"/>
        </w:rPr>
        <w:t xml:space="preserve">反腐进入深水区后，医药行业的阵痛与突围[J].</w:t>
      </w:r>
      <w:r>
        <w:t xml:space="preserve"> </w:t>
      </w:r>
      <w:r>
        <w:rPr>
          <w:rFonts w:hint="eastAsia"/>
        </w:rPr>
        <w:t xml:space="preserve">检察风云,</w:t>
      </w:r>
      <w:r>
        <w:t xml:space="preserve"> 2025.</w:t>
      </w:r>
    </w:p>
    <w:p>
      <w:pPr>
        <w:pStyle w:val="BodyText"/>
      </w:pPr>
      <w:r>
        <w:t xml:space="preserve">[4] Zoltners A A, Sinha P, Lorimer S E. Sales force effectiveness: A framework for researchers and practitioners[J]. Journal of Personal Selling &amp; Sales Management, 2008, 28(2): 115-131.</w:t>
      </w:r>
    </w:p>
    <w:p>
      <w:pPr>
        <w:pStyle w:val="BodyText"/>
      </w:pPr>
      <w:r>
        <w:t xml:space="preserve">[5] </w:t>
      </w:r>
      <w:r>
        <w:rPr>
          <w:rFonts w:hint="eastAsia"/>
        </w:rPr>
        <w:t xml:space="preserve">王晓玲.</w:t>
      </w:r>
      <w:r>
        <w:t xml:space="preserve"> </w:t>
      </w:r>
      <w:r>
        <w:rPr>
          <w:rFonts w:hint="eastAsia"/>
        </w:rPr>
        <w:t xml:space="preserve">我国生物医药行业数字化转型瓶颈及应对建议[J].</w:t>
      </w:r>
      <w:r>
        <w:t xml:space="preserve"> </w:t>
      </w:r>
      <w:r>
        <w:rPr>
          <w:rFonts w:hint="eastAsia"/>
        </w:rPr>
        <w:t xml:space="preserve">信息通信技术与政策,</w:t>
      </w:r>
      <w:r>
        <w:t xml:space="preserve"> 2024(3): 79-82.</w:t>
      </w:r>
    </w:p>
    <w:p>
      <w:pPr>
        <w:pStyle w:val="BodyText"/>
      </w:pPr>
      <w:r>
        <w:t xml:space="preserve">[6] Hess S W, Samuels S A. Experiences with a sales districting model: Criteria and implementation[J]. Management Science, 1971, 18(4): 41-54.</w:t>
      </w:r>
    </w:p>
    <w:p>
      <w:pPr>
        <w:pStyle w:val="BodyText"/>
      </w:pPr>
      <w:r>
        <w:t xml:space="preserve">[7] Zoltners A A, Sinha P. Sales territory alignment: A review and model[J]. Management Science, 1983, 29(11): 1237-1256.</w:t>
      </w:r>
    </w:p>
    <w:p>
      <w:pPr>
        <w:pStyle w:val="BodyText"/>
      </w:pPr>
      <w:r>
        <w:t xml:space="preserve">[8] Skiera B, Jordan C. A new model for the alignment of almost balanced sales territories[R]. Working Paper, Johann Wolfgang Goethe-Universität Frankfurt, 1996.</w:t>
      </w:r>
    </w:p>
    <w:p>
      <w:pPr>
        <w:pStyle w:val="BodyText"/>
      </w:pPr>
      <w:r>
        <w:t xml:space="preserve">[9] Zoltners A A, Lorimer S E. Sales territory alignment: An overlooked productivity tool[J]. Journal of Personal Selling &amp; Sales Management, 2000, 20(3): 139-150.</w:t>
      </w:r>
    </w:p>
    <w:bookmarkEnd w:id="31"/>
    <w:bookmarkEnd w:id="32"/>
    <w:sectPr>
      <w:headerReference r:id="rId9" w:type="default"/>
      <w:pgSz w:h="16838" w:w="11906"/>
      <w:pgMar w:bottom="2268" w:footer="1701" w:header="1417" w:left="1587" w:right="1587" w:top="19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731"/>
      </w:tabs>
      <w:pBdr>
        <w:bottom w:val="single" w:sz="4" w:space="1" w:color="000000"/>
      </w:pBdr>
    </w:pPr>
    <w:r>
      <w:rPr>
        <w:rFonts w:ascii="宋体" w:hAnsi="宋体" w:eastAsia="宋体"/>
        <w:sz w:val="18"/>
      </w:rPr>
      <w:t>上海交通大学 MBA 学位论文</w:t>
    </w:r>
    <w:r>
      <w:tab/>
    </w:r>
    <w:r>
      <w:rPr>
        <w:rFonts w:ascii="宋体" w:hAnsi="宋体" w:eastAsia="宋体"/>
        <w:sz w:val="18"/>
      </w:rPr>
      <w:t>运筹算法在制药企业SFE辖区动态分配中的应用及商业化研究</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420"/>
    </w:pPr>
    <w:rPr>
      <w:rFonts w:ascii="Times New Roman" w:eastAsia="宋体" w:hAnsi="Times New Roman"/>
      <w:sz w:val="21"/>
    </w:rPr>
  </w:style>
  <w:style w:styleId="BodyText" w:type="paragraph">
    <w:name w:val="Body Text"/>
    <w:basedOn w:val="Normal"/>
    <w:link w:val="BodyTextChar"/>
    <w:pPr>
      <w:spacing w:after="180" w:before="180"/>
      <w:ind w:firstLine="420"/>
    </w:pPr>
    <w:qFormat/>
  </w:style>
  <w:style w:customStyle="1" w:styleId="FirstParagraph" w:type="paragraph">
    <w:name w:val="First Paragraph"/>
    <w:basedOn w:val="Normal"/>
    <w:next w:val="BodyText"/>
    <w:qFormat/>
    <w:pPr>
      <w:ind w:firstLine="42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spacing w:after="480" w:before="0" w:line="360" w:lineRule="auto"/>
      <w:ind w:firstLine="0"/>
      <w:jc w:val="center"/>
      <w:outlineLvl w:val="0"/>
    </w:pPr>
    <w:rPr>
      <w:rFonts w:ascii="Times New Roman" w:asciiTheme="majorHAnsi" w:cstheme="majorBidi" w:eastAsia="黑体" w:eastAsiaTheme="majorEastAsia" w:hAnsi="Times New Roman" w:hAnsiTheme="majorHAnsi"/>
      <w:b/>
      <w:bCs/>
      <w:sz w:val="32"/>
      <w:szCs w:val="32"/>
    </w:rPr>
  </w:style>
  <w:style w:styleId="Heading2" w:type="paragraph">
    <w:name w:val="Heading 2"/>
    <w:basedOn w:val="Normal"/>
    <w:next w:val="BodyText"/>
    <w:uiPriority w:val="9"/>
    <w:unhideWhenUsed/>
    <w:qFormat/>
    <w:pPr>
      <w:pageBreakBefore w:val="0"/>
      <w:spacing w:after="120" w:before="240" w:line="360" w:lineRule="auto"/>
      <w:ind w:firstLine="0"/>
      <w:jc w:val="left"/>
      <w:outlineLvl w:val="1"/>
    </w:pPr>
    <w:rPr>
      <w:rFonts w:ascii="Times New Roman" w:asciiTheme="majorHAnsi" w:cstheme="majorBidi" w:eastAsia="黑体" w:eastAsiaTheme="majorEastAsia" w:hAnsi="Times New Roman" w:hAnsiTheme="majorHAnsi"/>
      <w:b/>
      <w:bCs/>
      <w:sz w:val="28"/>
      <w:szCs w:val="28"/>
    </w:rPr>
  </w:style>
  <w:style w:styleId="Heading3" w:type="paragraph">
    <w:name w:val="Heading 3"/>
    <w:basedOn w:val="Normal"/>
    <w:next w:val="BodyText"/>
    <w:uiPriority w:val="9"/>
    <w:unhideWhenUsed/>
    <w:qFormat/>
    <w:pPr>
      <w:pageBreakBefore w:val="0"/>
      <w:spacing w:after="60" w:before="120" w:line="360" w:lineRule="auto"/>
      <w:ind w:firstLine="0"/>
      <w:jc w:val="left"/>
      <w:outlineLvl w:val="2"/>
    </w:pPr>
    <w:rPr>
      <w:rFonts w:ascii="Times New Roman" w:asciiTheme="majorHAnsi" w:cstheme="majorBidi" w:eastAsia="黑体" w:eastAsiaTheme="majorEastAsia" w:hAnsi="Times New Roman"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2026-05-16T07:08:43Z</dcterms:created>
  <dcterms:modified xsi:type="dcterms:W3CDTF">2026-05-16T07:08:43Z</dcterms:modified>
</cp:coreProperties>
</file>

<file path=docProps/custom.xml><?xml version="1.0" encoding="utf-8"?>
<Properties xmlns="http://schemas.openxmlformats.org/officeDocument/2006/custom-properties" xmlns:vt="http://schemas.openxmlformats.org/officeDocument/2006/docPropsVTypes"/>
</file>