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；这种”两类机制有机结合”的设计理念，与本文”四层聚类生成初始解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4.4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4.4.2 </w:t>
      </w:r>
      <w:r>
        <w:rPr>
          <w:rFonts w:hint="eastAsia"/>
        </w:rPr>
        <w:t xml:space="preserve">节的城市上限取值</w:t>
      </w:r>
      <w:r>
        <w:t xml:space="preserve"> 3-5 </w:t>
      </w:r>
      <w:r>
        <w:rPr>
          <w:rFonts w:hint="eastAsia"/>
        </w:rPr>
        <w:t xml:space="preserve">个，与多数派意见一致。</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4.4.3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4.5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4.5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4.3.1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4.4.3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4.4.2 </w:t>
            </w:r>
            <w:r>
              <w:rPr>
                <w:rFonts w:hint="eastAsia"/>
              </w:rPr>
              <w:t xml:space="preserve">节城市上限硬约束</w:t>
            </w:r>
            <w:r>
              <w:t xml:space="preserve"> 3-5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4.5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33"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99"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End w:id="99"/>
    <w:bookmarkStart w:id="102" w:name="预处理大医院虚拟拆分机制"/>
    <w:p>
      <w:pPr>
        <w:pStyle w:val="Heading2"/>
      </w:pPr>
      <w:r>
        <w:t xml:space="preserve">4.3 </w:t>
      </w:r>
      <w:r>
        <w:rPr>
          <w:rFonts w:hint="eastAsia"/>
        </w:rPr>
        <w:t xml:space="preserve">预处理：大医院虚拟拆分机制</w:t>
      </w:r>
    </w:p>
    <w:bookmarkStart w:id="100"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p>
      <w:pPr>
        <w:pStyle w:val="BodyText"/>
      </w:pPr>
      <w:r>
        <w:t xml:space="preserve">1.5 </w:t>
      </w:r>
      <w:r>
        <w:rPr>
          <w:rFonts w:hint="eastAsia"/>
        </w:rPr>
        <w:t xml:space="preserve">倍这一阈值的取值，在调研中获得了多数业务受访者的认可。问卷</w:t>
      </w:r>
      <w:r>
        <w:t xml:space="preserve"> D1 </w:t>
      </w:r>
      <w:r>
        <w:rPr>
          <w:rFonts w:hint="eastAsia"/>
        </w:rPr>
        <w:t xml:space="preserve">题显示，50%</w:t>
      </w:r>
      <w:r>
        <w:t xml:space="preserve"> </w:t>
      </w:r>
      <w:r>
        <w:rPr>
          <w:rFonts w:hint="eastAsia"/>
        </w:rPr>
        <w:t xml:space="preserve">的受访者认为大医院应当在</w:t>
      </w:r>
      <w:r>
        <w:t xml:space="preserve"> Index </w:t>
      </w:r>
      <w:r>
        <w:rPr>
          <w:rFonts w:hint="eastAsia"/>
        </w:rPr>
        <w:t xml:space="preserve">超出辖区平均值</w:t>
      </w:r>
      <w:r>
        <w:t xml:space="preserve"> 1.5 </w:t>
      </w:r>
      <w:r>
        <w:rPr>
          <w:rFonts w:hint="eastAsia"/>
        </w:rPr>
        <w:t xml:space="preserve">倍时即触发虚拟拆分，25%</w:t>
      </w:r>
      <w:r>
        <w:t xml:space="preserve"> </w:t>
      </w:r>
      <w:r>
        <w:rPr>
          <w:rFonts w:hint="eastAsia"/>
        </w:rPr>
        <w:t xml:space="preserve">倾向于更保守的</w:t>
      </w:r>
      <w:r>
        <w:t xml:space="preserve"> 2 </w:t>
      </w:r>
      <w:r>
        <w:rPr>
          <w:rFonts w:hint="eastAsia"/>
        </w:rPr>
        <w:t xml:space="preserve">倍阈值，17%</w:t>
      </w:r>
      <w:r>
        <w:t xml:space="preserve"> </w:t>
      </w:r>
      <w:r>
        <w:rPr>
          <w:rFonts w:hint="eastAsia"/>
        </w:rPr>
        <w:t xml:space="preserve">倾向于更激进的</w:t>
      </w:r>
      <w:r>
        <w:t xml:space="preserve"> 1.2 </w:t>
      </w:r>
      <w:r>
        <w:rPr>
          <w:rFonts w:hint="eastAsia"/>
        </w:rPr>
        <w:t xml:space="preserve">倍阈值——多数派与本研究取值一致；少数派的分歧主要源于对绩效分摊与共岗管理复杂度的担忧（详见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I5 </w:t>
      </w:r>
      <w:r>
        <w:rPr>
          <w:rFonts w:hint="eastAsia"/>
        </w:rPr>
        <w:t xml:space="preserve">的反馈）。算法层面采用</w:t>
      </w:r>
      <w:r>
        <w:t xml:space="preserve"> 1.5 </w:t>
      </w:r>
      <w:r>
        <w:rPr>
          <w:rFonts w:hint="eastAsia"/>
        </w:rPr>
        <w:t xml:space="preserve">倍属于折中点：既能避免过低阈值导致大量医院被拆分、增加日常管理负担，又能确保所有显著超出理想值的”巨头医院”都被妥善分散。详细分布见</w:t>
      </w:r>
      <w:r>
        <w:t xml:space="preserve"> 3.3.3 </w:t>
      </w:r>
      <w:r>
        <w:rPr>
          <w:rFonts w:hint="eastAsia"/>
        </w:rPr>
        <w:t xml:space="preserve">节图</w:t>
      </w:r>
      <w:r>
        <w:t xml:space="preserve"> 3-7。</w:t>
      </w:r>
    </w:p>
    <w:bookmarkEnd w:id="100"/>
    <w:bookmarkStart w:id="101"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101"/>
    <w:bookmarkEnd w:id="102"/>
    <w:bookmarkStart w:id="106" w:name="多目标优化模型构建"/>
    <w:p>
      <w:pPr>
        <w:pStyle w:val="Heading2"/>
      </w:pPr>
      <w:r>
        <w:t xml:space="preserve">4.4 </w:t>
      </w:r>
      <w:r>
        <w:rPr>
          <w:rFonts w:hint="eastAsia"/>
        </w:rPr>
        <w:t xml:space="preserve">多目标优化模型构建</w:t>
      </w:r>
    </w:p>
    <w:bookmarkStart w:id="103"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4.4.2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3"/>
    <w:bookmarkStart w:id="104"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操作中，如果目标辖区已经达到城市上限且待移入的医院来自一个新城市，该操作会被跳过。3-5</w:t>
      </w:r>
      <w:r>
        <w:t xml:space="preserve"> </w:t>
      </w:r>
      <w:r>
        <w:rPr>
          <w:rFonts w:hint="eastAsia"/>
        </w:rPr>
        <w:t xml:space="preserve">个城市的上限取值在调研中得到业务侧的清晰背书：问卷</w:t>
      </w:r>
      <w:r>
        <w:t xml:space="preserve"> D4 </w:t>
      </w:r>
      <w:r>
        <w:rPr>
          <w:rFonts w:hint="eastAsia"/>
        </w:rPr>
        <w:t xml:space="preserve">题显示，50%</w:t>
      </w:r>
      <w:r>
        <w:t xml:space="preserve"> </w:t>
      </w:r>
      <w:r>
        <w:rPr>
          <w:rFonts w:hint="eastAsia"/>
        </w:rPr>
        <w:t xml:space="preserve">的受访者认为单代表合理覆盖的城市数应在</w:t>
      </w:r>
      <w:r>
        <w:t xml:space="preserve"> 2-3 </w:t>
      </w:r>
      <w:r>
        <w:rPr>
          <w:rFonts w:hint="eastAsia"/>
        </w:rPr>
        <w:t xml:space="preserve">个，33%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接受超过</w:t>
      </w:r>
      <w:r>
        <w:t xml:space="preserve"> 5 </w:t>
      </w:r>
      <w:r>
        <w:rPr>
          <w:rFonts w:hint="eastAsia"/>
        </w:rPr>
        <w:t xml:space="preserve">个的跨大区覆盖——累计</w:t>
      </w:r>
      <w:r>
        <w:t xml:space="preserve"> 83% </w:t>
      </w:r>
      <w:r>
        <w:rPr>
          <w:rFonts w:hint="eastAsia"/>
        </w:rPr>
        <w:t xml:space="preserve">的受访者将上限收敛在</w:t>
      </w:r>
      <w:r>
        <w:t xml:space="preserve"> 5 </w:t>
      </w:r>
      <w:r>
        <w:rPr>
          <w:rFonts w:hint="eastAsia"/>
        </w:rPr>
        <w:t xml:space="preserve">个城市以内。这一结果反映了一线代表对差旅半径与拜访频次平衡的实际感受：超出</w:t>
      </w:r>
      <w:r>
        <w:t xml:space="preserve"> 5 </w:t>
      </w:r>
      <w:r>
        <w:rPr>
          <w:rFonts w:hint="eastAsia"/>
        </w:rPr>
        <w:t xml:space="preserve">个城市意味着每个城市的有效覆盖时间被严重摊薄。详细分布见</w:t>
      </w:r>
      <w:r>
        <w:t xml:space="preserve"> 3.3.3 </w:t>
      </w:r>
      <w:r>
        <w:rPr>
          <w:rFonts w:hint="eastAsia"/>
        </w:rPr>
        <w:t xml:space="preserve">节图</w:t>
      </w:r>
      <w:r>
        <w:t xml:space="preserve"> 3-8。</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104"/>
    <w:bookmarkStart w:id="105"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5"/>
    <w:bookmarkEnd w:id="106"/>
    <w:bookmarkStart w:id="131" w:name="两阶段求解算法设计"/>
    <w:p>
      <w:pPr>
        <w:pStyle w:val="Heading2"/>
      </w:pPr>
      <w:r>
        <w:t xml:space="preserve">4.5 </w:t>
      </w:r>
      <w:r>
        <w:rPr>
          <w:rFonts w:hint="eastAsia"/>
        </w:rPr>
        <w:t xml:space="preserve">两阶段求解算法设计</w:t>
      </w:r>
    </w:p>
    <w:bookmarkStart w:id="110"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108" name="Picture"/>
            <a:graphic>
              <a:graphicData uri="http://schemas.openxmlformats.org/drawingml/2006/picture">
                <pic:pic>
                  <pic:nvPicPr>
                    <pic:cNvPr descr="figures/fig4-1.png" id="109" name="Picture"/>
                    <pic:cNvPicPr>
                      <a:picLocks noChangeArrowheads="1" noChangeAspect="1"/>
                    </pic:cNvPicPr>
                  </pic:nvPicPr>
                  <pic:blipFill>
                    <a:blip r:embed="rId107"/>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t xml:space="preserve">。</w:t>
      </w:r>
    </w:p>
    <w:p>
      <w:pPr>
        <w:pStyle w:val="BodyText"/>
      </w:pPr>
      <w:r>
        <w:rPr>
          <w:rFonts w:hint="eastAsia"/>
        </w:rPr>
        <w:t xml:space="preserve">两阶段解耦的方法论选择，在调研中得到了业务侧明确的偏好支持。问卷</w:t>
      </w:r>
      <w:r>
        <w:t xml:space="preserve"> G1 </w:t>
      </w:r>
      <w:r>
        <w:rPr>
          <w:rFonts w:hint="eastAsia"/>
        </w:rPr>
        <w:t xml:space="preserve">题以三组成对方案让受访者表态：第一组中，方案</w:t>
      </w:r>
      <w:r>
        <w:t xml:space="preserve"> A</w:t>
      </w:r>
      <w:r>
        <w:t xml:space="preserve"> </w:t>
      </w:r>
      <w:r>
        <w:t xml:space="preserve">“Index </w:t>
      </w:r>
      <w:r>
        <w:rPr>
          <w:rFonts w:hint="eastAsia"/>
        </w:rPr>
        <w:t xml:space="preserve">完美均衡但客户保留率仅</w:t>
      </w:r>
      <w:r>
        <w:t xml:space="preserve"> 75%”</w:t>
      </w:r>
      <w:r>
        <w:t xml:space="preserve"> </w:t>
      </w:r>
      <w:r>
        <w:rPr>
          <w:rFonts w:hint="eastAsia"/>
        </w:rPr>
        <w:t xml:space="preserve">与方案</w:t>
      </w:r>
      <w:r>
        <w:t xml:space="preserve"> B</w:t>
      </w:r>
      <w:r>
        <w:t xml:space="preserve"> </w:t>
      </w:r>
      <w:r>
        <w:t xml:space="preserve">“Index </w:t>
      </w:r>
      <w:r>
        <w:rPr>
          <w:rFonts w:hint="eastAsia"/>
        </w:rPr>
        <w:t xml:space="preserve">偏差</w:t>
      </w:r>
      <w:r>
        <w:t xml:space="preserve"> ±15% </w:t>
      </w:r>
      <w:r>
        <w:rPr>
          <w:rFonts w:hint="eastAsia"/>
        </w:rPr>
        <w:t xml:space="preserve">但客户保留率</w:t>
      </w:r>
      <w:r>
        <w:t xml:space="preserve"> 92%”</w:t>
      </w:r>
      <w:r>
        <w:t xml:space="preserve"> </w:t>
      </w:r>
      <w:r>
        <w:rPr>
          <w:rFonts w:hint="eastAsia"/>
        </w:rPr>
        <w:t xml:space="preserve">之间，67%</w:t>
      </w:r>
      <w:r>
        <w:t xml:space="preserve"> </w:t>
      </w:r>
      <w:r>
        <w:rPr>
          <w:rFonts w:hint="eastAsia"/>
        </w:rPr>
        <w:t xml:space="preserve">受访者选择</w:t>
      </w:r>
      <w:r>
        <w:t xml:space="preserve"> </w:t>
      </w:r>
      <w:r>
        <w:rPr>
          <w:rFonts w:hint="eastAsia"/>
        </w:rPr>
        <w:t xml:space="preserve">B；第二组中，方案</w:t>
      </w:r>
      <w:r>
        <w:t xml:space="preserve"> A</w:t>
      </w:r>
      <w:r>
        <w:t xml:space="preserve"> </w:t>
      </w:r>
      <w:r>
        <w:rPr>
          <w:rFonts w:hint="eastAsia"/>
        </w:rPr>
        <w:t xml:space="preserve">“地理跨度大但</w:t>
      </w:r>
      <w:r>
        <w:t xml:space="preserve"> Index </w:t>
      </w:r>
      <w:r>
        <w:rPr>
          <w:rFonts w:hint="eastAsia"/>
        </w:rPr>
        <w:t xml:space="preserve">完美均衡”</w:t>
      </w:r>
      <w:r>
        <w:t xml:space="preserve"> </w:t>
      </w:r>
      <w:r>
        <w:rPr>
          <w:rFonts w:hint="eastAsia"/>
        </w:rPr>
        <w:t xml:space="preserve">与方案</w:t>
      </w:r>
      <w:r>
        <w:t xml:space="preserve"> B</w:t>
      </w:r>
      <w:r>
        <w:t xml:space="preserve"> </w:t>
      </w:r>
      <w:r>
        <w:rPr>
          <w:rFonts w:hint="eastAsia"/>
        </w:rPr>
        <w:t xml:space="preserve">“地理紧凑但</w:t>
      </w:r>
      <w:r>
        <w:t xml:space="preserve"> Index </w:t>
      </w:r>
      <w:r>
        <w:rPr>
          <w:rFonts w:hint="eastAsia"/>
        </w:rPr>
        <w:t xml:space="preserve">偏差</w:t>
      </w:r>
      <w:r>
        <w:t xml:space="preserve"> ±10%”</w:t>
      </w:r>
      <w:r>
        <w:t xml:space="preserve"> </w:t>
      </w:r>
      <w:r>
        <w:rPr>
          <w:rFonts w:hint="eastAsia"/>
        </w:rPr>
        <w:t xml:space="preserve">之间，58%</w:t>
      </w:r>
      <w:r>
        <w:t xml:space="preserve"> </w:t>
      </w:r>
      <w:r>
        <w:rPr>
          <w:rFonts w:hint="eastAsia"/>
        </w:rPr>
        <w:t xml:space="preserve">受访者选择</w:t>
      </w:r>
      <w:r>
        <w:t xml:space="preserve"> </w:t>
      </w:r>
      <w:r>
        <w:rPr>
          <w:rFonts w:hint="eastAsia"/>
        </w:rPr>
        <w:t xml:space="preserve">B；第三组中，方案</w:t>
      </w:r>
      <w:r>
        <w:t xml:space="preserve"> A</w:t>
      </w:r>
      <w:r>
        <w:t xml:space="preserve"> </w:t>
      </w:r>
      <w:r>
        <w:rPr>
          <w:rFonts w:hint="eastAsia"/>
        </w:rPr>
        <w:t xml:space="preserve">“算法黑盒输出全局最优”</w:t>
      </w:r>
      <w:r>
        <w:t xml:space="preserve"> </w:t>
      </w:r>
      <w:r>
        <w:rPr>
          <w:rFonts w:hint="eastAsia"/>
        </w:rPr>
        <w:t xml:space="preserve">与方案</w:t>
      </w:r>
      <w:r>
        <w:t xml:space="preserve"> B</w:t>
      </w:r>
      <w:r>
        <w:t xml:space="preserve"> </w:t>
      </w:r>
      <w:r>
        <w:rPr>
          <w:rFonts w:hint="eastAsia"/>
        </w:rPr>
        <w:t xml:space="preserve">“算法</w:t>
      </w:r>
      <w:r>
        <w:t xml:space="preserve"> + </w:t>
      </w:r>
      <w:r>
        <w:rPr>
          <w:rFonts w:hint="eastAsia"/>
        </w:rPr>
        <w:t xml:space="preserve">人工调整”</w:t>
      </w:r>
      <w:r>
        <w:t xml:space="preserve"> </w:t>
      </w:r>
      <w:r>
        <w:rPr>
          <w:rFonts w:hint="eastAsia"/>
        </w:rPr>
        <w:t xml:space="preserve">之间，83%</w:t>
      </w:r>
      <w:r>
        <w:t xml:space="preserve"> </w:t>
      </w:r>
      <w:r>
        <w:rPr>
          <w:rFonts w:hint="eastAsia"/>
        </w:rPr>
        <w:t xml:space="preserve">受访者选择</w:t>
      </w:r>
      <w:r>
        <w:t xml:space="preserve"> </w:t>
      </w:r>
      <w:r>
        <w:rPr>
          <w:rFonts w:hint="eastAsia"/>
        </w:rPr>
        <w:t xml:space="preserve">B。前两组结果说明业务侧不接受将均衡性作为压倒性目标而牺牲客户关系或地理紧凑度——单阶段方法把所有目标揉进一个代价函数后，均衡性容易在权重失衡时压倒其他目标，正是受访者所抵触的情形；两阶段解耦的”先纯净均衡、后独立匹配”恰好规避了这一陷阱。第三组结果则为第六章将要展开的”人机协同”商业化设计做了铺垫。详细分布见</w:t>
      </w:r>
      <w:r>
        <w:t xml:space="preserve"> 3.3.4 </w:t>
      </w:r>
      <w:r>
        <w:rPr>
          <w:rFonts w:hint="eastAsia"/>
        </w:rPr>
        <w:t xml:space="preserve">节图</w:t>
      </w:r>
      <w:r>
        <w:t xml:space="preserve"> 3-10。</w:t>
      </w:r>
    </w:p>
    <w:bookmarkEnd w:id="110"/>
    <w:bookmarkStart w:id="121"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4"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112" name="Picture"/>
            <a:graphic>
              <a:graphicData uri="http://schemas.openxmlformats.org/drawingml/2006/picture">
                <pic:pic>
                  <pic:nvPicPr>
                    <pic:cNvPr descr="figures/fig4-2.png" id="113" name="Picture"/>
                    <pic:cNvPicPr>
                      <a:picLocks noChangeArrowheads="1" noChangeAspect="1"/>
                    </pic:cNvPicPr>
                  </pic:nvPicPr>
                  <pic:blipFill>
                    <a:blip r:embed="rId111"/>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114"/>
    <w:bookmarkStart w:id="115"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115"/>
    <w:bookmarkStart w:id="116"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116"/>
    <w:bookmarkStart w:id="120"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2"/>
        </w:numPr>
      </w:pPr>
      <w:r>
        <w:rPr>
          <w:rFonts w:hint="eastAsia"/>
        </w:rPr>
        <w:t xml:space="preserve">锁定检查：被锁定的非拆分医院不参与任何操作；被锁定的拆分份额只能移动到其允许的辖区集合内。</w:t>
      </w:r>
    </w:p>
    <w:p>
      <w:pPr>
        <w:pStyle w:val="Compact"/>
        <w:numPr>
          <w:ilvl w:val="0"/>
          <w:numId w:val="1002"/>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2"/>
        </w:numPr>
      </w:pPr>
      <w:r>
        <w:rPr>
          <w:rFonts w:hint="eastAsia"/>
        </w:rPr>
        <w:t xml:space="preserve">拆分分散检查：目标辖区中不得已包含同一原始医院的其他份额。</w:t>
      </w:r>
    </w:p>
    <w:p>
      <w:pPr>
        <w:pStyle w:val="Compact"/>
        <w:numPr>
          <w:ilvl w:val="0"/>
          <w:numId w:val="1002"/>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2"/>
        </w:numPr>
      </w:pPr>
      <w:r>
        <w:rPr>
          <w:rFonts w:hint="eastAsia"/>
        </w:rPr>
        <w:t xml:space="preserve">城市上限检查：如果待移入医院来自一个新城市，且目标辖区已达到城市上限，则跳过。</w:t>
      </w:r>
    </w:p>
    <w:p>
      <w:pPr>
        <w:pStyle w:val="Compact"/>
        <w:numPr>
          <w:ilvl w:val="0"/>
          <w:numId w:val="1002"/>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120"/>
    <w:bookmarkEnd w:id="121"/>
    <w:bookmarkStart w:id="130"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122"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4.5.3.4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bookmarkEnd w:id="126"/>
    <w:bookmarkStart w:id="127"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127"/>
    <w:bookmarkStart w:id="128"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128"/>
    <w:bookmarkStart w:id="129"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129"/>
    <w:bookmarkEnd w:id="130"/>
    <w:bookmarkEnd w:id="131"/>
    <w:bookmarkStart w:id="132"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32"/>
    <w:bookmarkEnd w:id="133"/>
    <w:bookmarkStart w:id="143"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34"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34"/>
    <w:bookmarkStart w:id="141" w:name="a.2-问卷量化题目"/>
    <w:p>
      <w:pPr>
        <w:pStyle w:val="Heading2"/>
      </w:pPr>
      <w:r>
        <w:t xml:space="preserve">A.2 </w:t>
      </w:r>
      <w:r>
        <w:rPr>
          <w:rFonts w:hint="eastAsia"/>
        </w:rPr>
        <w:t xml:space="preserve">问卷量化题目</w:t>
      </w:r>
    </w:p>
    <w:bookmarkStart w:id="135"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3"/>
        </w:numPr>
      </w:pPr>
      <w:r>
        <w:t xml:space="preserve">SFE </w:t>
      </w:r>
      <w:r>
        <w:rPr>
          <w:rFonts w:hint="eastAsia"/>
        </w:rPr>
        <w:t xml:space="preserve">管理层</w:t>
      </w:r>
      <w:r>
        <w:br/>
      </w:r>
    </w:p>
    <w:p>
      <w:pPr>
        <w:pStyle w:val="Compact"/>
        <w:numPr>
          <w:ilvl w:val="0"/>
          <w:numId w:val="1003"/>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3"/>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4"/>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5"/>
        </w:numPr>
      </w:pPr>
      <w:r>
        <w:rPr>
          <w:rFonts w:hint="eastAsia"/>
        </w:rPr>
        <w:t xml:space="preserve">跨国制药企业（外资）</w:t>
      </w:r>
      <w:r>
        <w:br/>
      </w:r>
    </w:p>
    <w:p>
      <w:pPr>
        <w:pStyle w:val="Compact"/>
        <w:numPr>
          <w:ilvl w:val="0"/>
          <w:numId w:val="1005"/>
        </w:numPr>
      </w:pPr>
      <w:r>
        <w:rPr>
          <w:rFonts w:hint="eastAsia"/>
        </w:rPr>
        <w:t xml:space="preserve">国内大型制药企业</w:t>
      </w:r>
      <w:r>
        <w:br/>
      </w:r>
    </w:p>
    <w:p>
      <w:pPr>
        <w:pStyle w:val="Compact"/>
        <w:numPr>
          <w:ilvl w:val="0"/>
          <w:numId w:val="1005"/>
        </w:numPr>
      </w:pPr>
      <w:r>
        <w:rPr>
          <w:rFonts w:hint="eastAsia"/>
        </w:rPr>
        <w:t xml:space="preserve">国内中小型制药企业</w:t>
      </w:r>
      <w:r>
        <w:br/>
      </w:r>
    </w:p>
    <w:p>
      <w:pPr>
        <w:pStyle w:val="Compact"/>
        <w:numPr>
          <w:ilvl w:val="0"/>
          <w:numId w:val="1005"/>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6"/>
        </w:numPr>
      </w:pPr>
      <w:r>
        <w:t xml:space="preserve">200 </w:t>
      </w:r>
      <w:r>
        <w:rPr>
          <w:rFonts w:hint="eastAsia"/>
        </w:rPr>
        <w:t xml:space="preserve">人以下</w:t>
      </w:r>
      <w:r>
        <w:br/>
      </w:r>
    </w:p>
    <w:p>
      <w:pPr>
        <w:pStyle w:val="Compact"/>
        <w:numPr>
          <w:ilvl w:val="0"/>
          <w:numId w:val="1006"/>
        </w:numPr>
      </w:pPr>
      <w:r>
        <w:t xml:space="preserve">200-500 </w:t>
      </w:r>
      <w:r>
        <w:rPr>
          <w:rFonts w:hint="eastAsia"/>
        </w:rPr>
        <w:t xml:space="preserve">人</w:t>
      </w:r>
      <w:r>
        <w:br/>
      </w:r>
    </w:p>
    <w:p>
      <w:pPr>
        <w:pStyle w:val="Compact"/>
        <w:numPr>
          <w:ilvl w:val="0"/>
          <w:numId w:val="1006"/>
        </w:numPr>
      </w:pPr>
      <w:r>
        <w:t xml:space="preserve">500-1000 </w:t>
      </w:r>
      <w:r>
        <w:rPr>
          <w:rFonts w:hint="eastAsia"/>
        </w:rPr>
        <w:t xml:space="preserve">人</w:t>
      </w:r>
      <w:r>
        <w:br/>
      </w:r>
    </w:p>
    <w:p>
      <w:pPr>
        <w:pStyle w:val="Compact"/>
        <w:numPr>
          <w:ilvl w:val="0"/>
          <w:numId w:val="1006"/>
        </w:numPr>
      </w:pPr>
      <w:r>
        <w:t xml:space="preserve">1000 </w:t>
      </w:r>
      <w:r>
        <w:rPr>
          <w:rFonts w:hint="eastAsia"/>
        </w:rPr>
        <w:t xml:space="preserve">人以上</w:t>
      </w:r>
    </w:p>
    <w:bookmarkEnd w:id="135"/>
    <w:bookmarkStart w:id="136"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7"/>
        </w:numPr>
      </w:pPr>
      <w:r>
        <w:rPr>
          <w:rFonts w:hint="eastAsia"/>
        </w:rPr>
        <w:t xml:space="preserve">现有销量（历史销售贡献）</w:t>
      </w:r>
      <w:r>
        <w:br/>
      </w:r>
    </w:p>
    <w:p>
      <w:pPr>
        <w:pStyle w:val="Compact"/>
        <w:numPr>
          <w:ilvl w:val="0"/>
          <w:numId w:val="1007"/>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7"/>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7"/>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7"/>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36"/>
    <w:bookmarkStart w:id="137"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37"/>
    <w:bookmarkStart w:id="138"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8"/>
        </w:numPr>
      </w:pPr>
      <w:r>
        <w:t xml:space="preserve">1.2 </w:t>
      </w:r>
      <w:r>
        <w:rPr>
          <w:rFonts w:hint="eastAsia"/>
        </w:rPr>
        <w:t xml:space="preserve">倍以上即可拆分</w:t>
      </w:r>
      <w:r>
        <w:br/>
      </w:r>
    </w:p>
    <w:p>
      <w:pPr>
        <w:pStyle w:val="Compact"/>
        <w:numPr>
          <w:ilvl w:val="0"/>
          <w:numId w:val="1008"/>
        </w:numPr>
      </w:pPr>
      <w:r>
        <w:t xml:space="preserve">1.5 </w:t>
      </w:r>
      <w:r>
        <w:rPr>
          <w:rFonts w:hint="eastAsia"/>
        </w:rPr>
        <w:t xml:space="preserve">倍以上才拆分</w:t>
      </w:r>
      <w:r>
        <w:br/>
      </w:r>
    </w:p>
    <w:p>
      <w:pPr>
        <w:pStyle w:val="Compact"/>
        <w:numPr>
          <w:ilvl w:val="0"/>
          <w:numId w:val="1008"/>
        </w:numPr>
      </w:pPr>
      <w:r>
        <w:t xml:space="preserve">2 </w:t>
      </w:r>
      <w:r>
        <w:rPr>
          <w:rFonts w:hint="eastAsia"/>
        </w:rPr>
        <w:t xml:space="preserve">倍以上才拆分</w:t>
      </w:r>
      <w:r>
        <w:br/>
      </w:r>
    </w:p>
    <w:p>
      <w:pPr>
        <w:pStyle w:val="Compact"/>
        <w:numPr>
          <w:ilvl w:val="0"/>
          <w:numId w:val="1008"/>
        </w:numPr>
      </w:pPr>
      <w:r>
        <w:rPr>
          <w:rFonts w:hint="eastAsia"/>
        </w:rPr>
        <w:t xml:space="preserve">不拆分，重点医院应由单人负责到底</w:t>
      </w:r>
      <w:r>
        <w:br/>
      </w:r>
    </w:p>
    <w:p>
      <w:pPr>
        <w:pStyle w:val="Compact"/>
        <w:numPr>
          <w:ilvl w:val="0"/>
          <w:numId w:val="1008"/>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9"/>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10"/>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1"/>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38"/>
    <w:bookmarkStart w:id="139"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2"/>
        </w:numPr>
      </w:pPr>
      <w:r>
        <w:t xml:space="preserve">Index </w:t>
      </w:r>
      <w:r>
        <w:rPr>
          <w:rFonts w:hint="eastAsia"/>
        </w:rPr>
        <w:t xml:space="preserve">完美均衡</w:t>
      </w:r>
      <w:r>
        <w:br/>
      </w:r>
    </w:p>
    <w:p>
      <w:pPr>
        <w:pStyle w:val="Compact"/>
        <w:numPr>
          <w:ilvl w:val="0"/>
          <w:numId w:val="1012"/>
        </w:numPr>
      </w:pPr>
      <w:r>
        <w:rPr>
          <w:rFonts w:hint="eastAsia"/>
        </w:rPr>
        <w:t xml:space="preserve">客户保留率最高</w:t>
      </w:r>
      <w:r>
        <w:br/>
      </w:r>
    </w:p>
    <w:p>
      <w:pPr>
        <w:pStyle w:val="Compact"/>
        <w:numPr>
          <w:ilvl w:val="0"/>
          <w:numId w:val="1012"/>
        </w:numPr>
      </w:pPr>
      <w:r>
        <w:rPr>
          <w:rFonts w:hint="eastAsia"/>
        </w:rPr>
        <w:t xml:space="preserve">地理紧凑性最优</w:t>
      </w:r>
      <w:r>
        <w:br/>
      </w:r>
    </w:p>
    <w:p>
      <w:pPr>
        <w:pStyle w:val="Compact"/>
        <w:numPr>
          <w:ilvl w:val="0"/>
          <w:numId w:val="1012"/>
        </w:numPr>
      </w:pPr>
      <w:r>
        <w:rPr>
          <w:rFonts w:hint="eastAsia"/>
        </w:rPr>
        <w:t xml:space="preserve">单代表工作量不超阈值</w:t>
      </w:r>
      <w:r>
        <w:br/>
      </w:r>
    </w:p>
    <w:p>
      <w:pPr>
        <w:pStyle w:val="Compact"/>
        <w:numPr>
          <w:ilvl w:val="0"/>
          <w:numId w:val="1012"/>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3"/>
        </w:numPr>
      </w:pPr>
      <w:r>
        <w:rPr>
          <w:rFonts w:hint="eastAsia"/>
        </w:rPr>
        <w:t xml:space="preserve">与原辖区的对应关系（继承）</w:t>
      </w:r>
      <w:r>
        <w:br/>
      </w:r>
    </w:p>
    <w:p>
      <w:pPr>
        <w:pStyle w:val="Compact"/>
        <w:numPr>
          <w:ilvl w:val="0"/>
          <w:numId w:val="1013"/>
        </w:numPr>
      </w:pPr>
      <w:r>
        <w:rPr>
          <w:rFonts w:hint="eastAsia"/>
        </w:rPr>
        <w:t xml:space="preserve">新增辖区覆盖高潜力区域</w:t>
      </w:r>
      <w:r>
        <w:br/>
      </w:r>
    </w:p>
    <w:p>
      <w:pPr>
        <w:pStyle w:val="Compact"/>
        <w:numPr>
          <w:ilvl w:val="0"/>
          <w:numId w:val="1013"/>
        </w:numPr>
      </w:pPr>
      <w:r>
        <w:rPr>
          <w:rFonts w:hint="eastAsia"/>
        </w:rPr>
        <w:t xml:space="preserve">全网</w:t>
      </w:r>
      <w:r>
        <w:t xml:space="preserve"> Index </w:t>
      </w:r>
      <w:r>
        <w:rPr>
          <w:rFonts w:hint="eastAsia"/>
        </w:rPr>
        <w:t xml:space="preserve">均衡</w:t>
      </w:r>
      <w:r>
        <w:br/>
      </w:r>
    </w:p>
    <w:p>
      <w:pPr>
        <w:pStyle w:val="Compact"/>
        <w:numPr>
          <w:ilvl w:val="0"/>
          <w:numId w:val="1013"/>
        </w:numPr>
      </w:pPr>
      <w:r>
        <w:rPr>
          <w:rFonts w:hint="eastAsia"/>
        </w:rPr>
        <w:t xml:space="preserve">不影响成熟产品的辖区结构</w:t>
      </w:r>
      <w:r>
        <w:br/>
      </w:r>
    </w:p>
    <w:p>
      <w:pPr>
        <w:pStyle w:val="Compact"/>
        <w:numPr>
          <w:ilvl w:val="0"/>
          <w:numId w:val="1013"/>
        </w:numPr>
      </w:pPr>
      <w:r>
        <w:rPr>
          <w:rFonts w:hint="eastAsia"/>
        </w:rPr>
        <w:t xml:space="preserve">其他（请填）：______</w:t>
      </w:r>
    </w:p>
    <w:bookmarkEnd w:id="139"/>
    <w:bookmarkStart w:id="140"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4"/>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4"/>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4"/>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40"/>
    <w:bookmarkEnd w:id="141"/>
    <w:bookmarkStart w:id="142"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42"/>
    <w:bookmarkEnd w:id="143"/>
    <w:bookmarkStart w:id="178" w:name="参考文献"/>
    <w:p>
      <w:pPr>
        <w:pStyle w:val="Heading1"/>
      </w:pPr>
      <w:r>
        <w:rPr>
          <w:rFonts w:hint="eastAsia"/>
        </w:rPr>
        <w:t xml:space="preserve">参考文献</w:t>
      </w:r>
    </w:p>
    <w:bookmarkStart w:id="177" w:name="refs"/>
    <w:bookmarkStart w:id="145"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44">
        <w:r>
          <w:rPr>
            <w:rStyle w:val="Hyperlink"/>
          </w:rPr>
          <w:t xml:space="preserve">10.16418/j.issn.1000-3045.20241111006</w:t>
        </w:r>
      </w:hyperlink>
      <w:r>
        <w:t xml:space="preserve">.</w:t>
      </w:r>
    </w:p>
    <w:bookmarkEnd w:id="145"/>
    <w:bookmarkStart w:id="146"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46"/>
    <w:bookmarkStart w:id="147"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47"/>
    <w:bookmarkStart w:id="148" w:name="ref-iqvia2025mpchina"/>
    <w:p>
      <w:pPr>
        <w:pStyle w:val="Bibliography"/>
      </w:pPr>
      <w:r>
        <w:t xml:space="preserve">[4] IQVIA INSTITUTE. Market Prognosis 2025-2029: China[R]. IQVIA, 2025.</w:t>
      </w:r>
    </w:p>
    <w:bookmarkEnd w:id="148"/>
    <w:bookmarkStart w:id="149"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49"/>
    <w:bookmarkStart w:id="150"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50"/>
    <w:bookmarkStart w:id="151"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51"/>
    <w:bookmarkStart w:id="152"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52"/>
    <w:bookmarkStart w:id="153"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53"/>
    <w:bookmarkStart w:id="154"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54"/>
    <w:bookmarkStart w:id="155" w:name="ref-hess1971"/>
    <w:p>
      <w:pPr>
        <w:pStyle w:val="Bibliography"/>
      </w:pPr>
      <w:r>
        <w:t xml:space="preserve">[11] HESS S W, SAMUELS S A. Experiences with a sales districting model: Criteria and implementation[J]. Management Science, 1971, 18(4): 41-54.</w:t>
      </w:r>
    </w:p>
    <w:bookmarkEnd w:id="155"/>
    <w:bookmarkStart w:id="156" w:name="ref-zoltners1983"/>
    <w:p>
      <w:pPr>
        <w:pStyle w:val="Bibliography"/>
      </w:pPr>
      <w:r>
        <w:t xml:space="preserve">[12] ZOLTNERS A A, SINHA P. Sales territory alignment: A review and model[J]. Management Science, 1983, 29(11): 1237-1256.</w:t>
      </w:r>
    </w:p>
    <w:bookmarkEnd w:id="156"/>
    <w:bookmarkStart w:id="157"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57"/>
    <w:bookmarkStart w:id="158" w:name="ref-zoltners2000"/>
    <w:p>
      <w:pPr>
        <w:pStyle w:val="Bibliography"/>
      </w:pPr>
      <w:r>
        <w:t xml:space="preserve">[14] ZOLTNERS A A, LORIMER S E. Sales territory alignment: An overlooked productivity tool[J]. Journal of Personal Selling &amp; Sales Management, 2000, 20(3): 139-150.</w:t>
      </w:r>
    </w:p>
    <w:bookmarkEnd w:id="158"/>
    <w:bookmarkStart w:id="159" w:name="ref-zs2016"/>
    <w:p>
      <w:pPr>
        <w:pStyle w:val="Bibliography"/>
      </w:pPr>
      <w:r>
        <w:t xml:space="preserve">[15] ZS ASSOCIATES. Study: Sales force effectiveness initiatives in medtech industry can boost performance up to 8 percent[Z]. PR Newswire, 2016.</w:t>
      </w:r>
    </w:p>
    <w:bookmarkEnd w:id="159"/>
    <w:bookmarkStart w:id="160"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60"/>
    <w:bookmarkStart w:id="161" w:name="ref-kalcsics2005"/>
    <w:p>
      <w:pPr>
        <w:pStyle w:val="Bibliography"/>
      </w:pPr>
      <w:r>
        <w:t xml:space="preserve">[17] KALCSICS J, NICKEL S, SCHRÖDER M. Towards a unified territory design approach – Applications, algorithms and GIS integration: 71[R]. Berichte des Fraunhofer ITWM, 2005.</w:t>
      </w:r>
    </w:p>
    <w:bookmarkEnd w:id="161"/>
    <w:bookmarkStart w:id="162" w:name="ref-zoltners2014"/>
    <w:p>
      <w:pPr>
        <w:pStyle w:val="Bibliography"/>
      </w:pPr>
      <w:r>
        <w:t xml:space="preserve">[18] ZOLTNERS A A, SINHA P, LORIMER S E. The Power of Sales Analytics[M]. Evanston: ZS Associates, 2014.</w:t>
      </w:r>
    </w:p>
    <w:bookmarkEnd w:id="162"/>
    <w:bookmarkStart w:id="163"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63"/>
    <w:bookmarkStart w:id="164"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64"/>
    <w:bookmarkStart w:id="165"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65"/>
    <w:bookmarkStart w:id="167"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66">
        <w:r>
          <w:rPr>
            <w:rStyle w:val="Hyperlink"/>
          </w:rPr>
          <w:t xml:space="preserve">10.14107/j.cnki.kzgc.20250703</w:t>
        </w:r>
      </w:hyperlink>
      <w:r>
        <w:t xml:space="preserve">.</w:t>
      </w:r>
    </w:p>
    <w:bookmarkEnd w:id="167"/>
    <w:bookmarkStart w:id="168"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68"/>
    <w:bookmarkStart w:id="169"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69"/>
    <w:bookmarkStart w:id="170"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70"/>
    <w:bookmarkStart w:id="171"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71"/>
    <w:bookmarkStart w:id="172"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72"/>
    <w:bookmarkStart w:id="173"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73"/>
    <w:bookmarkStart w:id="174"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74"/>
    <w:bookmarkStart w:id="175" w:name="ref-kuhn1955"/>
    <w:p>
      <w:pPr>
        <w:pStyle w:val="Bibliography"/>
      </w:pPr>
      <w:r>
        <w:t xml:space="preserve">[30] KUHN H W. The Hungarian method for the assignment problem[J]. Naval Research Logistics Quarterly, 1955, 2(1-2): 83-97.</w:t>
      </w:r>
    </w:p>
    <w:bookmarkEnd w:id="175"/>
    <w:bookmarkStart w:id="176" w:name="ref-kirkpatrick1983"/>
    <w:p>
      <w:pPr>
        <w:pStyle w:val="Bibliography"/>
      </w:pPr>
      <w:r>
        <w:t xml:space="preserve">[31] KIRKPATRICK S, GELATT C D, VECCHI M P. Optimization by simulated annealing[J]. Science, 1983, 220(4598): 671-680.</w:t>
      </w:r>
    </w:p>
    <w:bookmarkEnd w:id="176"/>
    <w:bookmarkEnd w:id="177"/>
    <w:bookmarkEnd w:id="178"/>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7" Type="http://schemas.openxmlformats.org/officeDocument/2006/relationships/image" Target="media/rId107.png"/><Relationship Id="rId111" Type="http://schemas.openxmlformats.org/officeDocument/2006/relationships/image" Target="media/rId111.png"/><Relationship Id="rId117" Type="http://schemas.openxmlformats.org/officeDocument/2006/relationships/image" Target="media/rId117.png"/><Relationship Id="rId123" Type="http://schemas.openxmlformats.org/officeDocument/2006/relationships/image" Target="media/rId123.png"/><Relationship Id="rId166" Type="http://schemas.openxmlformats.org/officeDocument/2006/relationships/hyperlink" Target="https://doi.org/10.14107/j.cnki.kzgc.20250703" TargetMode="External"/><Relationship Id="rId144"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66" Type="http://schemas.openxmlformats.org/officeDocument/2006/relationships/hyperlink" Target="https://doi.org/10.14107/j.cnki.kzgc.20250703" TargetMode="External"/><Relationship Id="rId144"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2026-05-24T00:42:12Z</dcterms:created>
  <dcterms:modified xsi:type="dcterms:W3CDTF">2026-05-24T00:42:12Z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