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LOF基金溢价率追踪器 — 开发复盘</w:t>
      </w:r>
    </w:p>
    <w:p>
      <w:pPr>
        <w:spacing w:after="400"/>
        <w:jc w:val="center"/>
      </w:pPr>
      <w:r>
        <w:rPr>
          <w:color w:val="666666"/>
          <w:sz w:val="20"/>
          <w:szCs w:val="20"/>
        </w:rPr>
        <w:t xml:space="preserve">日期：2026年3月11日</w:t>
      </w:r>
    </w:p>
    <w:p>
      <w:pPr>
        <w:pStyle w:val="Heading1"/>
      </w:pPr>
      <w:r>
        <w:t xml:space="preserve">一、项目概述</w:t>
      </w:r>
    </w:p>
    <w:p>
      <w:pPr>
        <w:spacing w:after="200"/>
      </w:pPr>
      <w:r>
        <w:t xml:space="preserve">开发一个单HTML文件的LOF基金溢价率追踪网页，展示21只指定LOF基金的T-1溢价率数据，支持全列排序，采用Amazon Cloudscape风格UI。数据来源为东方财富系列API，溢价率在前端本地计算：(T-1收盘价 - T-1净值) / T-1净值 × 100%。</w:t>
      </w:r>
    </w:p>
    <w:p>
      <w:pPr>
        <w:pStyle w:val="Heading1"/>
      </w:pPr>
      <w:r>
        <w:t xml:space="preserve">二、遇到的核心问题</w:t>
      </w:r>
    </w:p>
    <w:p>
      <w:pPr>
        <w:pStyle w:val="Heading2"/>
      </w:pPr>
      <w:r>
        <w:t xml:space="preserve">问题1：集思录API数据不可靠</w:t>
      </w:r>
    </w:p>
    <w:p>
      <w:pPr>
        <w:spacing w:after="100"/>
      </w:pPr>
      <w:r>
        <w:t xml:space="preserve">最初选择集思录(jisilu.cn)作为数据源，但存在两个致命问题：(1) 未登录状态下只返回20条记录；(2) discount_rt（溢价率）字段始终返回"-"，无法获取有效数据。此外，集思录API没有CORS头，需要通过代理访问，增加了不稳定性。</w:t>
      </w:r>
    </w:p>
    <w:p>
      <w:pPr>
        <w:spacing w:after="200"/>
      </w:pPr>
      <w:r>
        <w:rPr>
          <w:b/>
          <w:bCs/>
        </w:rPr>
        <w:t xml:space="preserve">教训：</w:t>
      </w:r>
      <w:r>
        <w:t xml:space="preserve">在选择第三方API前，应先用最小化测试验证其返回数据的完整性和准确性，而不是假设文档描述与实际一致。</w:t>
      </w:r>
    </w:p>
    <w:p>
      <w:pPr>
        <w:pStyle w:val="Heading2"/>
      </w:pPr>
      <w:r>
        <w:t xml:space="preserve">问题2：CORS代理方案不可靠</w:t>
      </w:r>
    </w:p>
    <w:p>
      <w:pPr>
        <w:spacing w:after="100"/>
      </w:pPr>
      <w:r>
        <w:t xml:space="preserve">尝试使用allorigins.win和corsproxy.io等公共CORS代理来转发API请求，但这些免费代理服务不稳定，经常超时或返回错误。在浏览器环境中，直接fetch跨域API会被CORS策略拦截，这是前端单页应用的固有限制。</w:t>
      </w:r>
    </w:p>
    <w:p>
      <w:pPr>
        <w:spacing w:after="200"/>
      </w:pPr>
      <w:r>
        <w:rPr>
          <w:b/>
          <w:bCs/>
        </w:rPr>
        <w:t xml:space="preserve">教训：</w:t>
      </w:r>
      <w:r>
        <w:t xml:space="preserve">不应依赖公共CORS代理作为生产方案。应优先寻找支持CORS或JSONP的API，或自建代理服务。</w:t>
      </w:r>
    </w:p>
    <w:p>
      <w:pPr>
        <w:pStyle w:val="Heading2"/>
      </w:pPr>
      <w:r>
        <w:t xml:space="preserve">问题3：fundgz JSONP回调名冲突</w:t>
      </w:r>
    </w:p>
    <w:p>
      <w:pPr>
        <w:spacing w:after="100"/>
      </w:pPr>
      <w:r>
        <w:t xml:space="preserve">天天基金的fundgz接口(fundgz.1234567.com.cn)使用固定回调名"jsonpgz"，无法自定义。串行请求21只基金时，由于JavaScript事件循环的异步特性，前一个请求的回调可能在下一个请求设置新回调后才执行，导致回调函数被覆盖，出现"Cannot read properties of undefined"错误。此外，部分QDII基金（如501018南方原油、161226国投白银等6只）的fundgz接口返回空数据jsonpgz()，进一步加剧了问题。</w:t>
      </w:r>
    </w:p>
    <w:p>
      <w:pPr>
        <w:spacing w:after="200"/>
      </w:pPr>
      <w:r>
        <w:rPr>
          <w:b/>
          <w:bCs/>
        </w:rPr>
        <w:t xml:space="preserve">教训：</w:t>
      </w:r>
      <w:r>
        <w:t xml:space="preserve">JSONP固定回调名的接口不适合并行或快速串行调用。应优先使用支持自定义callback参数的JSONP接口或标准fetch API。</w:t>
      </w:r>
    </w:p>
    <w:p>
      <w:pPr>
        <w:pStyle w:val="Heading2"/>
      </w:pPr>
      <w:r>
        <w:t xml:space="preserve">问题4：fundmobapi CORS拦截</w:t>
      </w:r>
    </w:p>
    <w:p>
      <w:pPr>
        <w:spacing w:after="100"/>
      </w:pPr>
      <w:r>
        <w:t xml:space="preserve">东方财富移动端API(fundmobapi.eastmoney.com)在Node.js环境中测试正常，但在浏览器中被CORS策略拦截（该API的CORS头不允许file://或其他域名的请求）。这导致在本地HTML文件中直接fetch该API失败。</w:t>
      </w:r>
    </w:p>
    <w:p>
      <w:pPr>
        <w:spacing w:after="200"/>
      </w:pPr>
      <w:r>
        <w:rPr>
          <w:b/>
          <w:bCs/>
        </w:rPr>
        <w:t xml:space="preserve">解决方案：</w:t>
      </w:r>
      <w:r>
        <w:t xml:space="preserve">发现该API支持callback参数进行JSONP调用，且callback名可自定义。通过JSONP方式绕过CORS限制，一次请求即可批量获取全部21只基金净值。</w:t>
      </w:r>
    </w:p>
    <w:p>
      <w:pPr>
        <w:pStyle w:val="Heading2"/>
      </w:pPr>
      <w:r>
        <w:t xml:space="preserve">问题5：DOMContentLoaded事件时序</w:t>
      </w:r>
    </w:p>
    <w:p>
      <w:pPr>
        <w:spacing w:after="100"/>
      </w:pPr>
      <w:r>
        <w:t xml:space="preserve">页面的&lt;script&gt;标签位于&lt;/body&gt;前，此时DOM已解析完成，DOMContentLoaded事件可能已经触发。如果仅监听DOMContentLoaded，loadData函数可能永远不会被调用。</w:t>
      </w:r>
    </w:p>
    <w:p>
      <w:pPr>
        <w:spacing w:after="200"/>
      </w:pPr>
      <w:r>
        <w:rPr>
          <w:b/>
          <w:bCs/>
        </w:rPr>
        <w:t xml:space="preserve">解决方案：</w:t>
      </w:r>
      <w:r>
        <w:t xml:space="preserve">检查document.readyState，如果不是"loading"则直接调用loadData()，否则监听DOMContentLoaded。</w:t>
      </w:r>
    </w:p>
    <w:p>
      <w:pPr>
        <w:pStyle w:val="Heading2"/>
      </w:pPr>
      <w:r>
        <w:t xml:space="preserve">问题6：数据准确性问题</w:t>
      </w:r>
    </w:p>
    <w:p>
      <w:pPr>
        <w:spacing w:after="100"/>
      </w:pPr>
      <w:r>
        <w:t xml:space="preserve">初始版本存在两个数据准确性问题：(1) 溢价率使用"现价"(实时价格)计算，而非"T-1收盘价"，导致溢价率不是T-1数据；(2) 申购状态和费率使用硬编码的假数据，与实际情况严重不符（如国投白银LOF实际为暂停申购，却写成开放申购）。</w:t>
      </w:r>
    </w:p>
    <w:p>
      <w:pPr>
        <w:spacing w:after="200"/>
      </w:pPr>
      <w:r>
        <w:rPr>
          <w:b/>
          <w:bCs/>
        </w:rPr>
        <w:t xml:space="preserve">解决方案：</w:t>
      </w:r>
      <w:r>
        <w:t xml:space="preserve">(1) 改用push2 API的f18字段（昨收价）作为T-1收盘价；(2) 通过爬取天天基金网(fundf10.eastmoney.com)基金详情页，获取真实的申购状态和费率数据。</w:t>
      </w:r>
    </w:p>
    <w:p>
      <w:pPr>
        <w:pStyle w:val="Heading1"/>
      </w:pPr>
      <w:r>
        <w:t xml:space="preserve">三、最终技术方案</w:t>
      </w:r>
    </w:p>
    <w:p>
      <w:pPr>
        <w:spacing w:after="100"/>
      </w:pPr>
      <w:r>
        <w:rPr>
          <w:b/>
          <w:bCs/>
        </w:rPr>
        <w:t xml:space="preserve">数据源架构：</w:t>
      </w:r>
    </w:p>
    <w:p>
      <w:r>
        <w:t xml:space="preserve">• T-1净值：fundmobapi.eastmoney.com JSONP（自定义callback，一次请求批量获取21只基金）</w:t>
      </w:r>
    </w:p>
    <w:p>
      <w:r>
        <w:t xml:space="preserve">• T-1收盘价：push2.eastmoney.com fetch（f18昨收字段，一次请求批量获取）</w:t>
      </w:r>
    </w:p>
    <w:p>
      <w:r>
        <w:t xml:space="preserve">• 溢价率：前端本地计算 (T-1收盘价 - T-1净值) / T-1净值 × 100%</w:t>
      </w:r>
    </w:p>
    <w:p>
      <w:pPr>
        <w:spacing w:after="200"/>
      </w:pPr>
      <w:r>
        <w:t xml:space="preserve">• 申购状态/费率：从天天基金网页抓取后硬编码（静态数据，需定期更新）</w:t>
      </w:r>
    </w:p>
    <w:p>
      <w:pPr>
        <w:spacing w:after="100"/>
      </w:pPr>
      <w:r>
        <w:rPr>
          <w:b/>
          <w:bCs/>
        </w:rPr>
        <w:t xml:space="preserve">性能优化：</w:t>
      </w:r>
    </w:p>
    <w:p>
      <w:pPr>
        <w:spacing w:after="200"/>
      </w:pPr>
      <w:r>
        <w:t xml:space="preserve">从最初的"21次串行JSONP + 1次fetch"（预计耗时20秒+）优化为"1次JSONP + 1次fetch"（耗时约1-2秒）。关键突破是发现fundmobapi支持JSONP callback参数且支持批量查询。</w:t>
      </w:r>
    </w:p>
    <w:p>
      <w:pPr>
        <w:pStyle w:val="Heading1"/>
      </w:pPr>
      <w:r>
        <w:t xml:space="preserve">四、方案迭代历程</w:t>
      </w:r>
    </w:p>
    <w:p>
      <w:r>
        <w:rPr>
          <w:b/>
          <w:bCs/>
        </w:rPr>
        <w:t xml:space="preserve">第1版：</w:t>
      </w:r>
      <w:r>
        <w:t xml:space="preserve">集思录API + CORS代理 → 失败（数据不完整，代理不稳定）</w:t>
      </w:r>
    </w:p>
    <w:p>
      <w:r>
        <w:rPr>
          <w:b/>
          <w:bCs/>
        </w:rPr>
        <w:t xml:space="preserve">第2版：</w:t>
      </w:r>
      <w:r>
        <w:t xml:space="preserve">fundgz JSONP串行 + push2 fetch → 部分失败（6只基金无数据，回调冲突，耗时过长）</w:t>
      </w:r>
    </w:p>
    <w:p>
      <w:r>
        <w:rPr>
          <w:b/>
          <w:bCs/>
        </w:rPr>
        <w:t xml:space="preserve">第3版：</w:t>
      </w:r>
      <w:r>
        <w:t xml:space="preserve">fundmobapi fetch + push2 fetch → 失败（CORS拦截）</w:t>
      </w:r>
    </w:p>
    <w:p>
      <w:pPr>
        <w:spacing w:after="200"/>
      </w:pPr>
      <w:r>
        <w:rPr>
          <w:b/>
          <w:bCs/>
        </w:rPr>
        <w:t xml:space="preserve">第4版（最终）：</w:t>
      </w:r>
      <w:r>
        <w:t xml:space="preserve">fundmobapi JSONP + push2 fetch → 成功（2次请求，秒级加载，21只基金全覆盖）</w:t>
      </w:r>
    </w:p>
    <w:p>
      <w:pPr>
        <w:pStyle w:val="Heading1"/>
      </w:pPr>
      <w:r>
        <w:t xml:space="preserve">五、关键经验总结</w:t>
      </w:r>
    </w:p>
    <w:p>
      <w:pPr>
        <w:spacing w:after="100"/>
      </w:pPr>
      <w:r>
        <w:rPr>
          <w:b/>
          <w:bCs/>
        </w:rPr>
        <w:t xml:space="preserve">1. 浏览器环境验证优先：</w:t>
      </w:r>
      <w:r>
        <w:t xml:space="preserve">Node.js中能用的API不代表浏览器中也能用。CORS策略是前端开发的核心约束，必须在目标环境中验证。</w:t>
      </w:r>
    </w:p>
    <w:p>
      <w:pPr>
        <w:spacing w:after="100"/>
      </w:pPr>
      <w:r>
        <w:rPr>
          <w:b/>
          <w:bCs/>
        </w:rPr>
        <w:t xml:space="preserve">2. JSONP仍有价值：</w:t>
      </w:r>
      <w:r>
        <w:t xml:space="preserve">在无法控制服务端CORS配置的场景下，JSONP是绕过跨域限制的有效手段。关键是找到支持自定义callback的接口。</w:t>
      </w:r>
    </w:p>
    <w:p>
      <w:pPr>
        <w:spacing w:after="100"/>
      </w:pPr>
      <w:r>
        <w:rPr>
          <w:b/>
          <w:bCs/>
        </w:rPr>
        <w:t xml:space="preserve">3. 数据准确性是底线：</w:t>
      </w:r>
      <w:r>
        <w:t xml:space="preserve">不能用假数据或猜测数据填充页面。申购状态、费率等信息必须从权威数据源获取并验证。</w:t>
      </w:r>
    </w:p>
    <w:p>
      <w:pPr>
        <w:spacing w:after="100"/>
      </w:pPr>
      <w:r>
        <w:rPr>
          <w:b/>
          <w:bCs/>
        </w:rPr>
        <w:t xml:space="preserve">4. 最小化请求次数：</w:t>
      </w:r>
      <w:r>
        <w:t xml:space="preserve">批量API优于逐个请求。21次串行JSONP耗时20秒+，而1次批量JSONP仅需1秒。API选型时应优先考虑批量能力。</w:t>
      </w:r>
    </w:p>
    <w:p>
      <w:pPr>
        <w:spacing w:after="200"/>
      </w:pPr>
      <w:r>
        <w:rPr>
          <w:b/>
          <w:bCs/>
        </w:rPr>
        <w:t xml:space="preserve">5. 渐进式调试：</w:t>
      </w:r>
      <w:r>
        <w:t xml:space="preserve">遇到问题时，先用独立测试页面隔离验证每个API的可用性（CORS、数据格式、返回内容），再组合到主页面中。</w:t>
      </w:r>
    </w:p>
    <w:p>
      <w:pPr>
        <w:pStyle w:val="Heading1"/>
      </w:pPr>
      <w:r>
        <w:t xml:space="preserve">六、待优化项</w:t>
      </w:r>
    </w:p>
    <w:p>
      <w:pPr>
        <w:spacing w:after="200"/>
      </w:pPr>
      <w:r>
        <w:t xml:space="preserve">• 申购状态和费率目前为静态硬编码，需要定期手动更新。可考虑通过后端服务定时抓取并提供API。
• QDII基金的净值日期可能与A股基金不同（海外市场休市日不同），当前未做日期对齐处理。
• 可增加数据缓存（localStorage），避免每次打开页面都重新请求。
• 可增加基金代码的动态管理功能（添加/删除基金）。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2026-03-11T07:44:50.439Z</dcterms:created>
  <dcterms:modified xsi:type="dcterms:W3CDTF">2026-03-11T07:44:50.441Z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