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2A44"/>
          <w:sz w:val="56"/>
          <w:szCs w:val="56"/>
        </w:rPr>
        <w:t xml:space="preserve">DigitalTwin.ai</w:t>
      </w:r>
    </w:p>
    <w:p>
      <w:pPr>
        <w:spacing w:after="40"/>
        <w:jc w:val="center"/>
      </w:pPr>
      <w:r>
        <w:rPr>
          <w:b/>
          <w:bCs/>
          <w:color w:val="0E7C7B"/>
          <w:sz w:val="26"/>
          <w:szCs w:val="26"/>
        </w:rPr>
        <w:t xml:space="preserve">Predictive Digital Twin for Mixed-Model Assembly Lines</w:t>
      </w:r>
    </w:p>
    <w:p>
      <w:pPr>
        <w:spacing w:after="400"/>
        <w:jc w:val="center"/>
      </w:pPr>
      <w:r>
        <w:rPr>
          <w:i/>
          <w:iCs/>
          <w:color w:val="5B6472"/>
          <w:sz w:val="20"/>
          <w:szCs w:val="20"/>
        </w:rPr>
        <w:t xml:space="preserve">Round 2 Business Proposal  |  Problem Track 4  |  Accenture Innovation Challenge 2026</w:t>
      </w:r>
    </w:p>
    <w:p>
      <w:pPr>
        <w:pStyle w:val="Heading1"/>
        <w:pBdr>
          <w:bottom w:val="single" w:color="0E7C7B" w:sz="6" w:space="4"/>
        </w:pBdr>
        <w:spacing w:after="160" w:before="360"/>
      </w:pPr>
      <w:r>
        <w:rPr>
          <w:b/>
          <w:bCs/>
          <w:color w:val="1F2A44"/>
          <w:sz w:val="30"/>
          <w:szCs w:val="30"/>
        </w:rPr>
        <w:t xml:space="preserve">1. Executive Summary</w:t>
      </w:r>
    </w:p>
    <w:p>
      <w:pPr>
        <w:spacing w:after="160" w:line="276"/>
      </w:pPr>
      <w:r>
        <w:rPr>
          <w:color w:val="2A2A2A"/>
          <w:sz w:val="21"/>
          <w:szCs w:val="21"/>
        </w:rPr>
        <w:t xml:space="preserve">DigitalTwin.ai is a predictive digital-twin platform for vehicle assembly lines that fuses uneven sensor telemetry, manual inspection logs, and historical quality data into a single live model of the line. It flags forming bottlenecks before they cause downtime, predicts probable defects before they reach final inspection, and gives every stakeholder — from a floor supervisor to a plant-investment committee — a view of the same underlying model calibrated to what they need to decide.</w:t>
      </w:r>
    </w:p>
    <w:p>
      <w:pPr>
        <w:spacing w:after="160" w:line="276"/>
      </w:pPr>
      <w:r>
        <w:rPr>
          <w:color w:val="2A2A2A"/>
          <w:sz w:val="21"/>
          <w:szCs w:val="21"/>
        </w:rPr>
        <w:t xml:space="preserve">Round 1 introduced the core concept. Round 2 extends it into a complete solution: a hybrid modelling approach that works with partial instrumentation, a defect-tracing mechanism that follows a fault backward through the line, and a working prototype demonstrating anomaly detection, bottleneck prediction, and role-based dashboards on simulated production data for a 42-station mixed-model line.</w:t>
      </w:r>
    </w:p>
    <w:p>
      <w:pPr>
        <w:pStyle w:val="Heading1"/>
        <w:pBdr>
          <w:bottom w:val="single" w:color="0E7C7B" w:sz="6" w:space="4"/>
        </w:pBdr>
        <w:spacing w:after="160" w:before="360"/>
      </w:pPr>
      <w:r>
        <w:rPr>
          <w:b/>
          <w:bCs/>
          <w:color w:val="1F2A44"/>
          <w:sz w:val="30"/>
          <w:szCs w:val="30"/>
        </w:rPr>
        <w:t xml:space="preserve">2. Problem Framing</w:t>
      </w:r>
    </w:p>
    <w:p>
      <w:pPr>
        <w:spacing w:after="160" w:line="276"/>
      </w:pPr>
      <w:r>
        <w:rPr>
          <w:color w:val="2A2A2A"/>
          <w:sz w:val="21"/>
          <w:szCs w:val="21"/>
        </w:rPr>
        <w:t xml:space="preserve">Assembly plants are not greenfield facilities. Most run 15-25 year-old PLCs alongside modern robotic cells, which means sensor coverage is patchy: some stations stream vibration, torque, and cycle-time data every second; others are checked by a human with a clipboard once per shift. A digital twin that assumes uniform data availability breaks the moment it meets a real plant.</w:t>
      </w:r>
    </w:p>
    <w:p>
      <w:pPr>
        <w:spacing w:after="160" w:line="276"/>
      </w:pPr>
      <w:r>
        <w:rPr>
          <w:color w:val="2A2A2A"/>
          <w:sz w:val="21"/>
          <w:szCs w:val="21"/>
        </w:rPr>
        <w:t xml:space="preserve">Two problems compound this. First, defects are often multi-causal and intermittent — a torque drift, an upstream part-quality issue, and an operator substitution can jointly produce a fault that no single sensor would catch alone. Second, defects introduced early in the line frequently surface only at final inspection, by which point dozens of downstream units may carry the same undetected issue, making root-cause tracing after the fact extremely costly.</w:t>
      </w:r>
    </w:p>
    <w:p>
      <w:pPr>
        <w:spacing w:after="160" w:line="276"/>
      </w:pPr>
      <w:r>
        <w:rPr>
          <w:color w:val="2A2A2A"/>
          <w:sz w:val="21"/>
          <w:szCs w:val="21"/>
        </w:rPr>
        <w:t xml:space="preserve">We frame the problem as three linked questions:</w:t>
      </w:r>
    </w:p>
    <w:p>
      <w:pPr>
        <w:pStyle w:val="ListParagraph"/>
        <w:numPr>
          <w:ilvl w:val="0"/>
          <w:numId w:val="2"/>
        </w:numPr>
        <w:spacing w:after="90" w:line="268"/>
      </w:pPr>
      <w:r>
        <w:rPr>
          <w:color w:val="2A2A2A"/>
          <w:sz w:val="21"/>
          <w:szCs w:val="21"/>
        </w:rPr>
        <w:t xml:space="preserve">Detection — can we identify a forming bottleneck or an elevated defect probability before it manifests, using whatever data actually exists at that station?</w:t>
      </w:r>
    </w:p>
    <w:p>
      <w:pPr>
        <w:pStyle w:val="ListParagraph"/>
        <w:numPr>
          <w:ilvl w:val="0"/>
          <w:numId w:val="2"/>
        </w:numPr>
        <w:spacing w:after="90" w:line="268"/>
      </w:pPr>
      <w:r>
        <w:rPr>
          <w:color w:val="2A2A2A"/>
          <w:sz w:val="21"/>
          <w:szCs w:val="21"/>
        </w:rPr>
        <w:t xml:space="preserve">Attribution — when a defect is caught downstream, can we trace it back to the station and shift where it most likely originated?</w:t>
      </w:r>
    </w:p>
    <w:p>
      <w:pPr>
        <w:pStyle w:val="ListParagraph"/>
        <w:numPr>
          <w:ilvl w:val="0"/>
          <w:numId w:val="2"/>
        </w:numPr>
        <w:spacing w:after="90" w:line="268"/>
      </w:pPr>
      <w:r>
        <w:rPr>
          <w:color w:val="2A2A2A"/>
          <w:sz w:val="21"/>
          <w:szCs w:val="21"/>
        </w:rPr>
        <w:t xml:space="preserve">Decision support — can we present the right signal, at the right level of abstraction, to the right stakeholder, without disrupting live production?</w:t>
      </w:r>
    </w:p>
    <w:p>
      <w:pPr>
        <w:pStyle w:val="Heading1"/>
        <w:pBdr>
          <w:bottom w:val="single" w:color="0E7C7B" w:sz="6" w:space="4"/>
        </w:pBdr>
        <w:spacing w:after="160" w:before="360"/>
      </w:pPr>
      <w:r>
        <w:rPr>
          <w:b/>
          <w:bCs/>
          <w:color w:val="1F2A44"/>
          <w:sz w:val="30"/>
          <w:szCs w:val="30"/>
        </w:rPr>
        <w:t xml:space="preserve">3. Solution Design</w:t>
      </w:r>
    </w:p>
    <w:p>
      <w:pPr>
        <w:pStyle w:val="Heading2"/>
        <w:spacing w:after="120" w:before="280"/>
      </w:pPr>
      <w:r>
        <w:rPr>
          <w:b/>
          <w:bCs/>
          <w:color w:val="0E7C7B"/>
          <w:sz w:val="24"/>
          <w:szCs w:val="24"/>
        </w:rPr>
        <w:t xml:space="preserve">3.1 Architecture Overview</w:t>
      </w:r>
    </w:p>
    <w:p>
      <w:pPr>
        <w:spacing w:after="160" w:line="276"/>
      </w:pPr>
      <w:r>
        <w:rPr>
          <w:color w:val="2A2A2A"/>
          <w:sz w:val="21"/>
          <w:szCs w:val="21"/>
        </w:rPr>
        <w:t xml:space="preserve">The platform is organized in four layers:</w:t>
      </w:r>
    </w:p>
    <w:p>
      <w:pPr>
        <w:pStyle w:val="ListParagraph"/>
        <w:numPr>
          <w:ilvl w:val="0"/>
          <w:numId w:val="2"/>
        </w:numPr>
        <w:spacing w:after="90" w:line="268"/>
      </w:pPr>
      <w:r>
        <w:rPr>
          <w:color w:val="2A2A2A"/>
          <w:sz w:val="21"/>
          <w:szCs w:val="21"/>
        </w:rPr>
        <w:t xml:space="preserve">Data Ingestion Layer — station-level adapters that pull structured OT data (PLC tags, cycle time, torque, vibration, temperature) from well-instrumented stations, and a lightweight mobile/checklist capture path for manually-inspected stations. All records are normalized to a common station-event schema with a per-record 'confidence source' tag (sensor vs. manual).</w:t>
      </w:r>
    </w:p>
    <w:p>
      <w:pPr>
        <w:pStyle w:val="ListParagraph"/>
        <w:numPr>
          <w:ilvl w:val="0"/>
          <w:numId w:val="2"/>
        </w:numPr>
        <w:spacing w:after="90" w:line="268"/>
      </w:pPr>
      <w:r>
        <w:rPr>
          <w:color w:val="2A2A2A"/>
          <w:sz w:val="21"/>
          <w:szCs w:val="21"/>
        </w:rPr>
        <w:t xml:space="preserve">Twin State Layer — a station-graph representation of the line (nodes = stations, edges = physical flow + typical dwell time) that maintains a rolling live state: current cycle time, queue depth, and a station health score for every node, including inferred (not directly measured) values at sensor-poor stations.</w:t>
      </w:r>
    </w:p>
    <w:p>
      <w:pPr>
        <w:pStyle w:val="ListParagraph"/>
        <w:numPr>
          <w:ilvl w:val="0"/>
          <w:numId w:val="2"/>
        </w:numPr>
        <w:spacing w:after="90" w:line="268"/>
      </w:pPr>
      <w:r>
        <w:rPr>
          <w:color w:val="2A2A2A"/>
          <w:sz w:val="21"/>
          <w:szCs w:val="21"/>
        </w:rPr>
        <w:t xml:space="preserve">Analytics Layer — three cooperating models: (1) Statistical Process Control (SPC) and anomaly detection on well-instrumented stations, (2) a Bayesian/probabilistic inference model that estimates health at sensor-poor stations from upstream/downstream signals and historical correlation, and (3) a supervised bottleneck/defect-risk model trained on historical line data, re-validated on a rolling basis against real outcomes before its output is trusted.</w:t>
      </w:r>
    </w:p>
    <w:p>
      <w:pPr>
        <w:pStyle w:val="ListParagraph"/>
        <w:numPr>
          <w:ilvl w:val="0"/>
          <w:numId w:val="2"/>
        </w:numPr>
        <w:spacing w:after="90" w:line="268"/>
      </w:pPr>
      <w:r>
        <w:rPr>
          <w:color w:val="2A2A2A"/>
          <w:sz w:val="21"/>
          <w:szCs w:val="21"/>
        </w:rPr>
        <w:t xml:space="preserve">Experience Layer — three role-specific views generated from the same twin state: a real-time floor view, a weekly planning view, and an executive investment-case view.</w:t>
      </w:r>
    </w:p>
    <w:p>
      <w:pPr>
        <w:pStyle w:val="Heading2"/>
        <w:spacing w:after="120" w:before="280"/>
      </w:pPr>
      <w:r>
        <w:rPr>
          <w:b/>
          <w:bCs/>
          <w:color w:val="0E7C7B"/>
          <w:sz w:val="24"/>
          <w:szCs w:val="24"/>
        </w:rPr>
        <w:t xml:space="preserve">3.2 Handling Uneven Sensor Coverage</w:t>
      </w:r>
    </w:p>
    <w:p>
      <w:pPr>
        <w:spacing w:after="160" w:line="276"/>
      </w:pPr>
      <w:r>
        <w:rPr>
          <w:color w:val="2A2A2A"/>
          <w:sz w:val="21"/>
          <w:szCs w:val="21"/>
        </w:rPr>
        <w:t xml:space="preserve">At richly instrumented stations, health is computed directly from telemetry using SPC control limits and short-window anomaly detection. At sensor-poor stations, the twin infers a health estimate from three cheap signals that don't require new wiring: the station's historical cycle-time distribution, the observed cycle time of the immediately upstream and downstream stations (a slowdown propagates), and manual checklist entries. Every inferred value is shown with an explicit confidence band rather than a false-precision single number, and the platform proposes a small, prioritized list of low-cost retrofit sensors (e.g., a single vibration clamp or a photoelectric cycle-time trigger) for the stations where inference confidence is weakest and business impact is highest — sized to fit within the plant's limited annual maintenance windows.</w:t>
      </w:r>
    </w:p>
    <w:p>
      <w:pPr>
        <w:pStyle w:val="Heading2"/>
        <w:spacing w:after="120" w:before="280"/>
      </w:pPr>
      <w:r>
        <w:rPr>
          <w:b/>
          <w:bCs/>
          <w:color w:val="0E7C7B"/>
          <w:sz w:val="24"/>
          <w:szCs w:val="24"/>
        </w:rPr>
        <w:t xml:space="preserve">3.3 Defect Backward-Tracing</w:t>
      </w:r>
    </w:p>
    <w:p>
      <w:pPr>
        <w:spacing w:after="160" w:line="276"/>
      </w:pPr>
      <w:r>
        <w:rPr>
          <w:color w:val="2A2A2A"/>
          <w:sz w:val="21"/>
          <w:szCs w:val="21"/>
        </w:rPr>
        <w:t xml:space="preserve">When final inspection flags a defect, the twin replays the unit's actual path through the line using its production timestamp trail, cross-references the health scores and anomaly flags recorded at each station at the time that specific unit passed through, and ranks candidate origin stations by a combined score of anomaly severity, historical defect correlation, and temporal proximity to the fault's typical dwell-to-surface interval. This also flags every other unit that passed the same station in the same anomalous window as a candidate for proactive re-inspection.</w:t>
      </w:r>
    </w:p>
    <w:p>
      <w:pPr>
        <w:pStyle w:val="Heading2"/>
        <w:spacing w:after="120" w:before="280"/>
      </w:pPr>
      <w:r>
        <w:rPr>
          <w:b/>
          <w:bCs/>
          <w:color w:val="0E7C7B"/>
          <w:sz w:val="24"/>
          <w:szCs w:val="24"/>
        </w:rPr>
        <w:t xml:space="preserve">3.4 Validation Before Trust</w:t>
      </w:r>
    </w:p>
    <w:p>
      <w:pPr>
        <w:spacing w:after="160" w:line="276"/>
      </w:pPr>
      <w:r>
        <w:rPr>
          <w:color w:val="2A2A2A"/>
          <w:sz w:val="21"/>
          <w:szCs w:val="21"/>
        </w:rPr>
        <w:t xml:space="preserve">No predictive signal is surfaced to the floor as actionable until it clears a validation gate: a shadow period where predictions are logged but not acted on, compared against real outcomes, and only promoted to an active alert once its precision at the plant's chosen alert-volume threshold is demonstrated. This directly addresses the floor-trust erosion risk that false alarms create.</w:t>
      </w:r>
    </w:p>
    <w:p>
      <w:pPr>
        <w:pStyle w:val="Heading1"/>
        <w:pBdr>
          <w:bottom w:val="single" w:color="0E7C7B" w:sz="6" w:space="4"/>
        </w:pBdr>
        <w:spacing w:after="160" w:before="360"/>
      </w:pPr>
      <w:r>
        <w:rPr>
          <w:b/>
          <w:bCs/>
          <w:color w:val="1F2A44"/>
          <w:sz w:val="30"/>
          <w:szCs w:val="30"/>
        </w:rPr>
        <w:t xml:space="preserve">4. Target Users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rPr>
          <w:tblHeader/>
        </w:trPr>
        <w:tc>
          <w:tcPr>
            <w:tcW w:type="dxa" w:w="2400"/>
            <w:shd w:fill="1F2A44" w:color="auto" w:val="clear"/>
            <w:tcMar>
              <w:top w:type="dxa" w:w="100"/>
              <w:left w:type="dxa" w:w="120"/>
              <w:bottom w:type="dxa" w:w="100"/>
              <w:right w:type="dxa" w:w="120"/>
            </w:tcMar>
          </w:tcPr>
          <w:p>
            <w:r>
              <w:rPr>
                <w:b/>
                <w:bCs/>
                <w:color w:val="FFFFFF"/>
                <w:sz w:val="19"/>
                <w:szCs w:val="19"/>
              </w:rPr>
              <w:t xml:space="preserve">User</w:t>
            </w:r>
          </w:p>
        </w:tc>
        <w:tc>
          <w:tcPr>
            <w:tcW w:type="dxa" w:w="3450"/>
            <w:shd w:fill="1F2A44" w:color="auto" w:val="clear"/>
            <w:tcMar>
              <w:top w:type="dxa" w:w="100"/>
              <w:left w:type="dxa" w:w="120"/>
              <w:bottom w:type="dxa" w:w="100"/>
              <w:right w:type="dxa" w:w="120"/>
            </w:tcMar>
          </w:tcPr>
          <w:p>
            <w:r>
              <w:rPr>
                <w:b/>
                <w:bCs/>
                <w:color w:val="FFFFFF"/>
                <w:sz w:val="19"/>
                <w:szCs w:val="19"/>
              </w:rPr>
              <w:t xml:space="preserve">Core Need</w:t>
            </w:r>
          </w:p>
        </w:tc>
        <w:tc>
          <w:tcPr>
            <w:tcW w:type="dxa" w:w="3500"/>
            <w:shd w:fill="1F2A44" w:color="auto" w:val="clear"/>
            <w:tcMar>
              <w:top w:type="dxa" w:w="100"/>
              <w:left w:type="dxa" w:w="120"/>
              <w:bottom w:type="dxa" w:w="100"/>
              <w:right w:type="dxa" w:w="120"/>
            </w:tcMar>
          </w:tcPr>
          <w:p>
            <w:r>
              <w:rPr>
                <w:b/>
                <w:bCs/>
                <w:color w:val="FFFFFF"/>
                <w:sz w:val="19"/>
                <w:szCs w:val="19"/>
              </w:rPr>
              <w:t xml:space="preserve">How the Twin Serves Them</w:t>
            </w:r>
          </w:p>
        </w:tc>
      </w:tr>
      <w:tr>
        <w:tc>
          <w:tcPr>
            <w:tcW w:type="dxa" w:w="2400"/>
            <w:tcMar>
              <w:top w:type="dxa" w:w="100"/>
              <w:left w:type="dxa" w:w="120"/>
              <w:bottom w:type="dxa" w:w="100"/>
              <w:right w:type="dxa" w:w="120"/>
            </w:tcMar>
          </w:tcPr>
          <w:p>
            <w:r>
              <w:rPr>
                <w:b w:val="false"/>
                <w:bCs w:val="false"/>
                <w:color w:val="2A2A2A"/>
                <w:sz w:val="19"/>
                <w:szCs w:val="19"/>
              </w:rPr>
              <w:t xml:space="preserve">Floor Supervisor</w:t>
            </w:r>
          </w:p>
        </w:tc>
        <w:tc>
          <w:tcPr>
            <w:tcW w:type="dxa" w:w="3450"/>
            <w:tcMar>
              <w:top w:type="dxa" w:w="100"/>
              <w:left w:type="dxa" w:w="120"/>
              <w:bottom w:type="dxa" w:w="100"/>
              <w:right w:type="dxa" w:w="120"/>
            </w:tcMar>
          </w:tcPr>
          <w:p>
            <w:r>
              <w:rPr>
                <w:b w:val="false"/>
                <w:bCs w:val="false"/>
                <w:color w:val="2A2A2A"/>
                <w:sz w:val="19"/>
                <w:szCs w:val="19"/>
              </w:rPr>
              <w:t xml:space="preserve">Real-time, in-the-moment signal</w:t>
            </w:r>
          </w:p>
        </w:tc>
        <w:tc>
          <w:tcPr>
            <w:tcW w:type="dxa" w:w="3500"/>
            <w:tcMar>
              <w:top w:type="dxa" w:w="100"/>
              <w:left w:type="dxa" w:w="120"/>
              <w:bottom w:type="dxa" w:w="100"/>
              <w:right w:type="dxa" w:w="120"/>
            </w:tcMar>
          </w:tcPr>
          <w:p>
            <w:r>
              <w:rPr>
                <w:b w:val="false"/>
                <w:bCs w:val="false"/>
                <w:color w:val="2A2A2A"/>
                <w:sz w:val="19"/>
                <w:szCs w:val="19"/>
              </w:rPr>
              <w:t xml:space="preserve">Live station map, current bottleneck alerts, defect-risk flags with recommended immediate action</w:t>
            </w:r>
          </w:p>
        </w:tc>
      </w:tr>
      <w:tr>
        <w:tc>
          <w:tcPr>
            <w:tcW w:type="dxa" w:w="2400"/>
            <w:tcMar>
              <w:top w:type="dxa" w:w="100"/>
              <w:left w:type="dxa" w:w="120"/>
              <w:bottom w:type="dxa" w:w="100"/>
              <w:right w:type="dxa" w:w="120"/>
            </w:tcMar>
          </w:tcPr>
          <w:p>
            <w:r>
              <w:rPr>
                <w:b w:val="false"/>
                <w:bCs w:val="false"/>
                <w:color w:val="2A2A2A"/>
                <w:sz w:val="19"/>
                <w:szCs w:val="19"/>
              </w:rPr>
              <w:t xml:space="preserve">Plant Manager</w:t>
            </w:r>
          </w:p>
        </w:tc>
        <w:tc>
          <w:tcPr>
            <w:tcW w:type="dxa" w:w="3450"/>
            <w:tcMar>
              <w:top w:type="dxa" w:w="100"/>
              <w:left w:type="dxa" w:w="120"/>
              <w:bottom w:type="dxa" w:w="100"/>
              <w:right w:type="dxa" w:w="120"/>
            </w:tcMar>
          </w:tcPr>
          <w:p>
            <w:r>
              <w:rPr>
                <w:b w:val="false"/>
                <w:bCs w:val="false"/>
                <w:color w:val="2A2A2A"/>
                <w:sz w:val="19"/>
                <w:szCs w:val="19"/>
              </w:rPr>
              <w:t xml:space="preserve">Weekly planning &amp; trend view</w:t>
            </w:r>
          </w:p>
        </w:tc>
        <w:tc>
          <w:tcPr>
            <w:tcW w:type="dxa" w:w="3500"/>
            <w:tcMar>
              <w:top w:type="dxa" w:w="100"/>
              <w:left w:type="dxa" w:w="120"/>
              <w:bottom w:type="dxa" w:w="100"/>
              <w:right w:type="dxa" w:w="120"/>
            </w:tcMar>
          </w:tcPr>
          <w:p>
            <w:r>
              <w:rPr>
                <w:b w:val="false"/>
                <w:bCs w:val="false"/>
                <w:color w:val="2A2A2A"/>
                <w:sz w:val="19"/>
                <w:szCs w:val="19"/>
              </w:rPr>
              <w:t xml:space="preserve">Rolling bottleneck trends, station health trajectory, maintenance-window planning support</w:t>
            </w:r>
          </w:p>
        </w:tc>
      </w:tr>
      <w:tr>
        <w:tc>
          <w:tcPr>
            <w:tcW w:type="dxa" w:w="2400"/>
            <w:tcMar>
              <w:top w:type="dxa" w:w="100"/>
              <w:left w:type="dxa" w:w="120"/>
              <w:bottom w:type="dxa" w:w="100"/>
              <w:right w:type="dxa" w:w="120"/>
            </w:tcMar>
          </w:tcPr>
          <w:p>
            <w:r>
              <w:rPr>
                <w:b w:val="false"/>
                <w:bCs w:val="false"/>
                <w:color w:val="2A2A2A"/>
                <w:sz w:val="19"/>
                <w:szCs w:val="19"/>
              </w:rPr>
              <w:t xml:space="preserve">Quality Engineer</w:t>
            </w:r>
          </w:p>
        </w:tc>
        <w:tc>
          <w:tcPr>
            <w:tcW w:type="dxa" w:w="3450"/>
            <w:tcMar>
              <w:top w:type="dxa" w:w="100"/>
              <w:left w:type="dxa" w:w="120"/>
              <w:bottom w:type="dxa" w:w="100"/>
              <w:right w:type="dxa" w:w="120"/>
            </w:tcMar>
          </w:tcPr>
          <w:p>
            <w:r>
              <w:rPr>
                <w:b w:val="false"/>
                <w:bCs w:val="false"/>
                <w:color w:val="2A2A2A"/>
                <w:sz w:val="19"/>
                <w:szCs w:val="19"/>
              </w:rPr>
              <w:t xml:space="preserve">Root-cause tracing</w:t>
            </w:r>
          </w:p>
        </w:tc>
        <w:tc>
          <w:tcPr>
            <w:tcW w:type="dxa" w:w="3500"/>
            <w:tcMar>
              <w:top w:type="dxa" w:w="100"/>
              <w:left w:type="dxa" w:w="120"/>
              <w:bottom w:type="dxa" w:w="100"/>
              <w:right w:type="dxa" w:w="120"/>
            </w:tcMar>
          </w:tcPr>
          <w:p>
            <w:r>
              <w:rPr>
                <w:b w:val="false"/>
                <w:bCs w:val="false"/>
                <w:color w:val="2A2A2A"/>
                <w:sz w:val="19"/>
                <w:szCs w:val="19"/>
              </w:rPr>
              <w:t xml:space="preserve">Backward-trace tool linking a caught defect to candidate origin stations and affected unit batches</w:t>
            </w:r>
          </w:p>
        </w:tc>
      </w:tr>
      <w:tr>
        <w:tc>
          <w:tcPr>
            <w:tcW w:type="dxa" w:w="2400"/>
            <w:tcMar>
              <w:top w:type="dxa" w:w="100"/>
              <w:left w:type="dxa" w:w="120"/>
              <w:bottom w:type="dxa" w:w="100"/>
              <w:right w:type="dxa" w:w="120"/>
            </w:tcMar>
          </w:tcPr>
          <w:p>
            <w:r>
              <w:rPr>
                <w:b w:val="false"/>
                <w:bCs w:val="false"/>
                <w:color w:val="2A2A2A"/>
                <w:sz w:val="19"/>
                <w:szCs w:val="19"/>
              </w:rPr>
              <w:t xml:space="preserve">Plant Leadership</w:t>
            </w:r>
          </w:p>
        </w:tc>
        <w:tc>
          <w:tcPr>
            <w:tcW w:type="dxa" w:w="3450"/>
            <w:tcMar>
              <w:top w:type="dxa" w:w="100"/>
              <w:left w:type="dxa" w:w="120"/>
              <w:bottom w:type="dxa" w:w="100"/>
              <w:right w:type="dxa" w:w="120"/>
            </w:tcMar>
          </w:tcPr>
          <w:p>
            <w:r>
              <w:rPr>
                <w:b w:val="false"/>
                <w:bCs w:val="false"/>
                <w:color w:val="2A2A2A"/>
                <w:sz w:val="19"/>
                <w:szCs w:val="19"/>
              </w:rPr>
              <w:t xml:space="preserve">Investment case</w:t>
            </w:r>
          </w:p>
        </w:tc>
        <w:tc>
          <w:tcPr>
            <w:tcW w:type="dxa" w:w="3500"/>
            <w:tcMar>
              <w:top w:type="dxa" w:w="100"/>
              <w:left w:type="dxa" w:w="120"/>
              <w:bottom w:type="dxa" w:w="100"/>
              <w:right w:type="dxa" w:w="120"/>
            </w:tcMar>
          </w:tcPr>
          <w:p>
            <w:r>
              <w:rPr>
                <w:b w:val="false"/>
                <w:bCs w:val="false"/>
                <w:color w:val="2A2A2A"/>
                <w:sz w:val="19"/>
                <w:szCs w:val="19"/>
              </w:rPr>
              <w:t xml:space="preserve">Roll-up dashboard: downtime avoided, defect escape rate, ROI of proposed sensor retrofits</w:t>
            </w:r>
          </w:p>
        </w:tc>
      </w:tr>
    </w:tbl>
    <w:p>
      <w:pPr>
        <w:pStyle w:val="Heading1"/>
        <w:pBdr>
          <w:bottom w:val="single" w:color="0E7C7B" w:sz="6" w:space="4"/>
        </w:pBdr>
        <w:spacing w:after="160" w:before="360"/>
      </w:pPr>
      <w:r>
        <w:rPr>
          <w:b/>
          <w:bCs/>
          <w:color w:val="1F2A44"/>
          <w:sz w:val="30"/>
          <w:szCs w:val="30"/>
        </w:rPr>
        <w:t xml:space="preserve">5. Business Case &amp; Impact</w:t>
      </w:r>
    </w:p>
    <w:p>
      <w:pPr>
        <w:spacing w:after="160" w:line="276"/>
      </w:pPr>
      <w:r>
        <w:rPr>
          <w:color w:val="2A2A2A"/>
          <w:sz w:val="21"/>
          <w:szCs w:val="21"/>
        </w:rPr>
        <w:t xml:space="preserve">For an illustrative 42-station line running two shifts, we assume a baseline of 6-8 unplanned bottleneck stoppages per month averaging 25 minutes each, and a defect escape rate to final inspection of roughly 1.8%. Directional impact estimate, to be validated against a pilot line's actual data:</w:t>
      </w:r>
    </w:p>
    <w:p>
      <w:pPr>
        <w:pStyle w:val="ListParagraph"/>
        <w:numPr>
          <w:ilvl w:val="0"/>
          <w:numId w:val="2"/>
        </w:numPr>
        <w:spacing w:after="90" w:line="268"/>
      </w:pPr>
      <w:r>
        <w:rPr>
          <w:color w:val="2A2A2A"/>
          <w:sz w:val="21"/>
          <w:szCs w:val="21"/>
        </w:rPr>
        <w:t xml:space="preserve">Downtime reduction — early bottleneck warning (even a 5-10 minute lead time) allows supervisors to pre-stage labor or trigger a changeover, targeting a 20-30% reduction in unplanned stoppage minutes.</w:t>
      </w:r>
    </w:p>
    <w:p>
      <w:pPr>
        <w:pStyle w:val="ListParagraph"/>
        <w:numPr>
          <w:ilvl w:val="0"/>
          <w:numId w:val="2"/>
        </w:numPr>
        <w:spacing w:after="90" w:line="268"/>
      </w:pPr>
      <w:r>
        <w:rPr>
          <w:color w:val="2A2A2A"/>
          <w:sz w:val="21"/>
          <w:szCs w:val="21"/>
        </w:rPr>
        <w:t xml:space="preserve">Defect containment — backward-tracing shrinks the batch of units requiring re-inspection after a caught defect from 'everything since the last full inspection' to a bounded, ranked candidate set, cutting rework inspection hours materially.</w:t>
      </w:r>
    </w:p>
    <w:p>
      <w:pPr>
        <w:pStyle w:val="ListParagraph"/>
        <w:numPr>
          <w:ilvl w:val="0"/>
          <w:numId w:val="2"/>
        </w:numPr>
        <w:spacing w:after="90" w:line="268"/>
      </w:pPr>
      <w:r>
        <w:rPr>
          <w:color w:val="2A2A2A"/>
          <w:sz w:val="21"/>
          <w:szCs w:val="21"/>
        </w:rPr>
        <w:t xml:space="preserve">Capital efficiency — the low-cost sensor recommendation engine directs a constrained retrofit budget to the stations with the highest inference-uncertainty and business-impact score, rather than uniform instrumentation of the whole line.</w:t>
      </w:r>
    </w:p>
    <w:p>
      <w:pPr>
        <w:spacing w:after="160" w:line="276"/>
      </w:pPr>
      <w:r>
        <w:rPr>
          <w:color w:val="2A2A2A"/>
          <w:sz w:val="21"/>
          <w:szCs w:val="21"/>
        </w:rPr>
        <w:t xml:space="preserve">Cost drivers are modest: the platform runs on existing PLC/OT data feeds plus a small number of added sensors, and the analytics layer uses classical statistical and ML methods rather than large real-time inference workloads, keeping compute cost low and predictable.</w:t>
      </w:r>
    </w:p>
    <w:p>
      <w:pPr>
        <w:pStyle w:val="Heading1"/>
        <w:pBdr>
          <w:bottom w:val="single" w:color="0E7C7B" w:sz="6" w:space="4"/>
        </w:pBdr>
        <w:spacing w:after="160" w:before="360"/>
      </w:pPr>
      <w:r>
        <w:rPr>
          <w:b/>
          <w:bCs/>
          <w:color w:val="1F2A44"/>
          <w:sz w:val="30"/>
          <w:szCs w:val="30"/>
        </w:rPr>
        <w:t xml:space="preserve">6. Phased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50"/>
      </w:tblGrid>
      <w:tr>
        <w:trPr>
          <w:tblHeader/>
        </w:trPr>
        <w:tc>
          <w:tcPr>
            <w:tcW w:type="dxa" w:w="2200"/>
            <w:shd w:fill="1F2A44" w:color="auto" w:val="clear"/>
            <w:tcMar>
              <w:top w:type="dxa" w:w="100"/>
              <w:left w:type="dxa" w:w="120"/>
              <w:bottom w:type="dxa" w:w="100"/>
              <w:right w:type="dxa" w:w="120"/>
            </w:tcMar>
          </w:tcPr>
          <w:p>
            <w:r>
              <w:rPr>
                <w:b/>
                <w:bCs/>
                <w:color w:val="FFFFFF"/>
                <w:sz w:val="19"/>
                <w:szCs w:val="19"/>
              </w:rPr>
              <w:t xml:space="preserve">Phase</w:t>
            </w:r>
          </w:p>
        </w:tc>
        <w:tc>
          <w:tcPr>
            <w:tcW w:type="dxa" w:w="1700"/>
            <w:shd w:fill="1F2A44" w:color="auto" w:val="clear"/>
            <w:tcMar>
              <w:top w:type="dxa" w:w="100"/>
              <w:left w:type="dxa" w:w="120"/>
              <w:bottom w:type="dxa" w:w="100"/>
              <w:right w:type="dxa" w:w="120"/>
            </w:tcMar>
          </w:tcPr>
          <w:p>
            <w:r>
              <w:rPr>
                <w:b/>
                <w:bCs/>
                <w:color w:val="FFFFFF"/>
                <w:sz w:val="19"/>
                <w:szCs w:val="19"/>
              </w:rPr>
              <w:t xml:space="preserve">Duration</w:t>
            </w:r>
          </w:p>
        </w:tc>
        <w:tc>
          <w:tcPr>
            <w:tcW w:type="dxa" w:w="5450"/>
            <w:shd w:fill="1F2A44" w:color="auto" w:val="clear"/>
            <w:tcMar>
              <w:top w:type="dxa" w:w="100"/>
              <w:left w:type="dxa" w:w="120"/>
              <w:bottom w:type="dxa" w:w="100"/>
              <w:right w:type="dxa" w:w="120"/>
            </w:tcMar>
          </w:tcPr>
          <w:p>
            <w:r>
              <w:rPr>
                <w:b/>
                <w:bCs/>
                <w:color w:val="FFFFFF"/>
                <w:sz w:val="19"/>
                <w:szCs w:val="19"/>
              </w:rPr>
              <w:t xml:space="preserve">Scope</w:t>
            </w:r>
          </w:p>
        </w:tc>
      </w:tr>
      <w:tr>
        <w:tc>
          <w:tcPr>
            <w:tcW w:type="dxa" w:w="2200"/>
            <w:tcMar>
              <w:top w:type="dxa" w:w="100"/>
              <w:left w:type="dxa" w:w="120"/>
              <w:bottom w:type="dxa" w:w="100"/>
              <w:right w:type="dxa" w:w="120"/>
            </w:tcMar>
          </w:tcPr>
          <w:p>
            <w:r>
              <w:rPr>
                <w:b w:val="false"/>
                <w:bCs w:val="false"/>
                <w:color w:val="2A2A2A"/>
                <w:sz w:val="19"/>
                <w:szCs w:val="19"/>
              </w:rPr>
              <w:t xml:space="preserve">Phase 0 — Discovery</w:t>
            </w:r>
          </w:p>
        </w:tc>
        <w:tc>
          <w:tcPr>
            <w:tcW w:type="dxa" w:w="1700"/>
            <w:tcMar>
              <w:top w:type="dxa" w:w="100"/>
              <w:left w:type="dxa" w:w="120"/>
              <w:bottom w:type="dxa" w:w="100"/>
              <w:right w:type="dxa" w:w="120"/>
            </w:tcMar>
          </w:tcPr>
          <w:p>
            <w:r>
              <w:rPr>
                <w:b w:val="false"/>
                <w:bCs w:val="false"/>
                <w:color w:val="2A2A2A"/>
                <w:sz w:val="19"/>
                <w:szCs w:val="19"/>
              </w:rPr>
              <w:t xml:space="preserve">4-6 weeks</w:t>
            </w:r>
          </w:p>
        </w:tc>
        <w:tc>
          <w:tcPr>
            <w:tcW w:type="dxa" w:w="5450"/>
            <w:tcMar>
              <w:top w:type="dxa" w:w="100"/>
              <w:left w:type="dxa" w:w="120"/>
              <w:bottom w:type="dxa" w:w="100"/>
              <w:right w:type="dxa" w:w="120"/>
            </w:tcMar>
          </w:tcPr>
          <w:p>
            <w:r>
              <w:rPr>
                <w:b w:val="false"/>
                <w:bCs w:val="false"/>
                <w:color w:val="2A2A2A"/>
                <w:sz w:val="19"/>
                <w:szCs w:val="19"/>
              </w:rPr>
              <w:t xml:space="preserve">Instrument audit of one pilot line, data-quality baseline, define station graph and success metrics with plant stakeholders</w:t>
            </w:r>
          </w:p>
        </w:tc>
      </w:tr>
      <w:tr>
        <w:tc>
          <w:tcPr>
            <w:tcW w:type="dxa" w:w="2200"/>
            <w:tcMar>
              <w:top w:type="dxa" w:w="100"/>
              <w:left w:type="dxa" w:w="120"/>
              <w:bottom w:type="dxa" w:w="100"/>
              <w:right w:type="dxa" w:w="120"/>
            </w:tcMar>
          </w:tcPr>
          <w:p>
            <w:r>
              <w:rPr>
                <w:b w:val="false"/>
                <w:bCs w:val="false"/>
                <w:color w:val="2A2A2A"/>
                <w:sz w:val="19"/>
                <w:szCs w:val="19"/>
              </w:rPr>
              <w:t xml:space="preserve">Phase 1 — Shadow Twin</w:t>
            </w:r>
          </w:p>
        </w:tc>
        <w:tc>
          <w:tcPr>
            <w:tcW w:type="dxa" w:w="1700"/>
            <w:tcMar>
              <w:top w:type="dxa" w:w="100"/>
              <w:left w:type="dxa" w:w="120"/>
              <w:bottom w:type="dxa" w:w="100"/>
              <w:right w:type="dxa" w:w="120"/>
            </w:tcMar>
          </w:tcPr>
          <w:p>
            <w:r>
              <w:rPr>
                <w:b w:val="false"/>
                <w:bCs w:val="false"/>
                <w:color w:val="2A2A2A"/>
                <w:sz w:val="19"/>
                <w:szCs w:val="19"/>
              </w:rPr>
              <w:t xml:space="preserve">8-10 weeks</w:t>
            </w:r>
          </w:p>
        </w:tc>
        <w:tc>
          <w:tcPr>
            <w:tcW w:type="dxa" w:w="5450"/>
            <w:tcMar>
              <w:top w:type="dxa" w:w="100"/>
              <w:left w:type="dxa" w:w="120"/>
              <w:bottom w:type="dxa" w:w="100"/>
              <w:right w:type="dxa" w:w="120"/>
            </w:tcMar>
          </w:tcPr>
          <w:p>
            <w:r>
              <w:rPr>
                <w:b w:val="false"/>
                <w:bCs w:val="false"/>
                <w:color w:val="2A2A2A"/>
                <w:sz w:val="19"/>
                <w:szCs w:val="19"/>
              </w:rPr>
              <w:t xml:space="preserve">Deploy ingestion + twin state layer on pilot line; SPC/anomaly detection live in shadow mode (logged, not surfaced) to build validation confidence</w:t>
            </w:r>
          </w:p>
        </w:tc>
      </w:tr>
      <w:tr>
        <w:tc>
          <w:tcPr>
            <w:tcW w:type="dxa" w:w="2200"/>
            <w:tcMar>
              <w:top w:type="dxa" w:w="100"/>
              <w:left w:type="dxa" w:w="120"/>
              <w:bottom w:type="dxa" w:w="100"/>
              <w:right w:type="dxa" w:w="120"/>
            </w:tcMar>
          </w:tcPr>
          <w:p>
            <w:r>
              <w:rPr>
                <w:b w:val="false"/>
                <w:bCs w:val="false"/>
                <w:color w:val="2A2A2A"/>
                <w:sz w:val="19"/>
                <w:szCs w:val="19"/>
              </w:rPr>
              <w:t xml:space="preserve">Phase 2 — Guided Rollout</w:t>
            </w:r>
          </w:p>
        </w:tc>
        <w:tc>
          <w:tcPr>
            <w:tcW w:type="dxa" w:w="1700"/>
            <w:tcMar>
              <w:top w:type="dxa" w:w="100"/>
              <w:left w:type="dxa" w:w="120"/>
              <w:bottom w:type="dxa" w:w="100"/>
              <w:right w:type="dxa" w:w="120"/>
            </w:tcMar>
          </w:tcPr>
          <w:p>
            <w:r>
              <w:rPr>
                <w:b w:val="false"/>
                <w:bCs w:val="false"/>
                <w:color w:val="2A2A2A"/>
                <w:sz w:val="19"/>
                <w:szCs w:val="19"/>
              </w:rPr>
              <w:t xml:space="preserve">8 weeks</w:t>
            </w:r>
          </w:p>
        </w:tc>
        <w:tc>
          <w:tcPr>
            <w:tcW w:type="dxa" w:w="5450"/>
            <w:tcMar>
              <w:top w:type="dxa" w:w="100"/>
              <w:left w:type="dxa" w:w="120"/>
              <w:bottom w:type="dxa" w:w="100"/>
              <w:right w:type="dxa" w:w="120"/>
            </w:tcMar>
          </w:tcPr>
          <w:p>
            <w:r>
              <w:rPr>
                <w:b w:val="false"/>
                <w:bCs w:val="false"/>
                <w:color w:val="2A2A2A"/>
                <w:sz w:val="19"/>
                <w:szCs w:val="19"/>
              </w:rPr>
              <w:t xml:space="preserve">Promote validated alerts to the floor view; deploy plant-manager and quality-engineer views; begin low-cost sensor retrofits at priority stations</w:t>
            </w:r>
          </w:p>
        </w:tc>
      </w:tr>
      <w:tr>
        <w:tc>
          <w:tcPr>
            <w:tcW w:type="dxa" w:w="2200"/>
            <w:tcMar>
              <w:top w:type="dxa" w:w="100"/>
              <w:left w:type="dxa" w:w="120"/>
              <w:bottom w:type="dxa" w:w="100"/>
              <w:right w:type="dxa" w:w="120"/>
            </w:tcMar>
          </w:tcPr>
          <w:p>
            <w:r>
              <w:rPr>
                <w:b w:val="false"/>
                <w:bCs w:val="false"/>
                <w:color w:val="2A2A2A"/>
                <w:sz w:val="19"/>
                <w:szCs w:val="19"/>
              </w:rPr>
              <w:t xml:space="preserve">Phase 3 — Scale</w:t>
            </w:r>
          </w:p>
        </w:tc>
        <w:tc>
          <w:tcPr>
            <w:tcW w:type="dxa" w:w="1700"/>
            <w:tcMar>
              <w:top w:type="dxa" w:w="100"/>
              <w:left w:type="dxa" w:w="120"/>
              <w:bottom w:type="dxa" w:w="100"/>
              <w:right w:type="dxa" w:w="120"/>
            </w:tcMar>
          </w:tcPr>
          <w:p>
            <w:r>
              <w:rPr>
                <w:b w:val="false"/>
                <w:bCs w:val="false"/>
                <w:color w:val="2A2A2A"/>
                <w:sz w:val="19"/>
                <w:szCs w:val="19"/>
              </w:rPr>
              <w:t xml:space="preserve">Ongoing</w:t>
            </w:r>
          </w:p>
        </w:tc>
        <w:tc>
          <w:tcPr>
            <w:tcW w:type="dxa" w:w="5450"/>
            <w:tcMar>
              <w:top w:type="dxa" w:w="100"/>
              <w:left w:type="dxa" w:w="120"/>
              <w:bottom w:type="dxa" w:w="100"/>
              <w:right w:type="dxa" w:w="120"/>
            </w:tcMar>
          </w:tcPr>
          <w:p>
            <w:r>
              <w:rPr>
                <w:b w:val="false"/>
                <w:bCs w:val="false"/>
                <w:color w:val="2A2A2A"/>
                <w:sz w:val="19"/>
                <w:szCs w:val="19"/>
              </w:rPr>
              <w:t xml:space="preserve">Extend to additional lines/plants, reusing the station-graph template and re-calibrating models per site's layout and sensor maturity</w:t>
            </w:r>
          </w:p>
        </w:tc>
      </w:tr>
    </w:tbl>
    <w:p>
      <w:pPr>
        <w:pStyle w:val="Heading1"/>
        <w:pBdr>
          <w:bottom w:val="single" w:color="0E7C7B" w:sz="6" w:space="4"/>
        </w:pBdr>
        <w:spacing w:after="160" w:before="360"/>
      </w:pPr>
      <w:r>
        <w:rPr>
          <w:b/>
          <w:bCs/>
          <w:color w:val="1F2A44"/>
          <w:sz w:val="30"/>
          <w:szCs w:val="30"/>
        </w:rPr>
        <w:t xml:space="preserve">7. Key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rPr>
          <w:tblHeader/>
        </w:trPr>
        <w:tc>
          <w:tcPr>
            <w:tcW w:type="dxa" w:w="3350"/>
            <w:shd w:fill="1F2A44" w:color="auto" w:val="clear"/>
            <w:tcMar>
              <w:top w:type="dxa" w:w="100"/>
              <w:left w:type="dxa" w:w="120"/>
              <w:bottom w:type="dxa" w:w="100"/>
              <w:right w:type="dxa" w:w="120"/>
            </w:tcMar>
          </w:tcPr>
          <w:p>
            <w:r>
              <w:rPr>
                <w:b/>
                <w:bCs/>
                <w:color w:val="FFFFFF"/>
                <w:sz w:val="19"/>
                <w:szCs w:val="19"/>
              </w:rPr>
              <w:t xml:space="preserve">Risk</w:t>
            </w:r>
          </w:p>
        </w:tc>
        <w:tc>
          <w:tcPr>
            <w:tcW w:type="dxa" w:w="6000"/>
            <w:shd w:fill="1F2A44" w:color="auto" w:val="clear"/>
            <w:tcMar>
              <w:top w:type="dxa" w:w="100"/>
              <w:left w:type="dxa" w:w="120"/>
              <w:bottom w:type="dxa" w:w="100"/>
              <w:right w:type="dxa" w:w="120"/>
            </w:tcMar>
          </w:tcPr>
          <w:p>
            <w:r>
              <w:rPr>
                <w:b/>
                <w:bCs/>
                <w:color w:val="FFFFFF"/>
                <w:sz w:val="19"/>
                <w:szCs w:val="19"/>
              </w:rPr>
              <w:t xml:space="preserve">Mitigation</w:t>
            </w:r>
          </w:p>
        </w:tc>
      </w:tr>
      <w:tr>
        <w:tc>
          <w:tcPr>
            <w:tcW w:type="dxa" w:w="3350"/>
            <w:tcMar>
              <w:top w:type="dxa" w:w="100"/>
              <w:left w:type="dxa" w:w="120"/>
              <w:bottom w:type="dxa" w:w="100"/>
              <w:right w:type="dxa" w:w="120"/>
            </w:tcMar>
          </w:tcPr>
          <w:p>
            <w:r>
              <w:rPr>
                <w:b w:val="false"/>
                <w:bCs w:val="false"/>
                <w:color w:val="2A2A2A"/>
                <w:sz w:val="19"/>
                <w:szCs w:val="19"/>
              </w:rPr>
              <w:t xml:space="preserve">False alarms erode floor trust</w:t>
            </w:r>
          </w:p>
        </w:tc>
        <w:tc>
          <w:tcPr>
            <w:tcW w:type="dxa" w:w="6000"/>
            <w:tcMar>
              <w:top w:type="dxa" w:w="100"/>
              <w:left w:type="dxa" w:w="120"/>
              <w:bottom w:type="dxa" w:w="100"/>
              <w:right w:type="dxa" w:w="120"/>
            </w:tcMar>
          </w:tcPr>
          <w:p>
            <w:r>
              <w:rPr>
                <w:b w:val="false"/>
                <w:bCs w:val="false"/>
                <w:color w:val="2A2A2A"/>
                <w:sz w:val="19"/>
                <w:szCs w:val="19"/>
              </w:rPr>
              <w:t xml:space="preserve">Mandatory shadow-validation period before any alert reaches the floor; precision threshold gate; visible confidence bands on every inferred value</w:t>
            </w:r>
          </w:p>
        </w:tc>
      </w:tr>
      <w:tr>
        <w:tc>
          <w:tcPr>
            <w:tcW w:type="dxa" w:w="3350"/>
            <w:tcMar>
              <w:top w:type="dxa" w:w="100"/>
              <w:left w:type="dxa" w:w="120"/>
              <w:bottom w:type="dxa" w:w="100"/>
              <w:right w:type="dxa" w:w="120"/>
            </w:tcMar>
          </w:tcPr>
          <w:p>
            <w:r>
              <w:rPr>
                <w:b w:val="false"/>
                <w:bCs w:val="false"/>
                <w:color w:val="2A2A2A"/>
                <w:sz w:val="19"/>
                <w:szCs w:val="19"/>
              </w:rPr>
              <w:t xml:space="preserve">Live production disruption during integration</w:t>
            </w:r>
          </w:p>
        </w:tc>
        <w:tc>
          <w:tcPr>
            <w:tcW w:type="dxa" w:w="6000"/>
            <w:tcMar>
              <w:top w:type="dxa" w:w="100"/>
              <w:left w:type="dxa" w:w="120"/>
              <w:bottom w:type="dxa" w:w="100"/>
              <w:right w:type="dxa" w:w="120"/>
            </w:tcMar>
          </w:tcPr>
          <w:p>
            <w:r>
              <w:rPr>
                <w:b w:val="false"/>
                <w:bCs w:val="false"/>
                <w:color w:val="2A2A2A"/>
                <w:sz w:val="19"/>
                <w:szCs w:val="19"/>
              </w:rPr>
              <w:t xml:space="preserve">Read-only OT integration wherever possible; any new sensor wiring scheduled only within existing maintenance windows</w:t>
            </w:r>
          </w:p>
        </w:tc>
      </w:tr>
      <w:tr>
        <w:tc>
          <w:tcPr>
            <w:tcW w:type="dxa" w:w="3350"/>
            <w:tcMar>
              <w:top w:type="dxa" w:w="100"/>
              <w:left w:type="dxa" w:w="120"/>
              <w:bottom w:type="dxa" w:w="100"/>
              <w:right w:type="dxa" w:w="120"/>
            </w:tcMar>
          </w:tcPr>
          <w:p>
            <w:r>
              <w:rPr>
                <w:b w:val="false"/>
                <w:bCs w:val="false"/>
                <w:color w:val="2A2A2A"/>
                <w:sz w:val="19"/>
                <w:szCs w:val="19"/>
              </w:rPr>
              <w:t xml:space="preserve">Sensor-poor stations produce low-quality inference</w:t>
            </w:r>
          </w:p>
        </w:tc>
        <w:tc>
          <w:tcPr>
            <w:tcW w:type="dxa" w:w="6000"/>
            <w:tcMar>
              <w:top w:type="dxa" w:w="100"/>
              <w:left w:type="dxa" w:w="120"/>
              <w:bottom w:type="dxa" w:w="100"/>
              <w:right w:type="dxa" w:w="120"/>
            </w:tcMar>
          </w:tcPr>
          <w:p>
            <w:r>
              <w:rPr>
                <w:b w:val="false"/>
                <w:bCs w:val="false"/>
                <w:color w:val="2A2A2A"/>
                <w:sz w:val="19"/>
                <w:szCs w:val="19"/>
              </w:rPr>
              <w:t xml:space="preserve">Explicit confidence scoring, upstream/downstream signal fusion, and a prioritized low-cost sensor roadmap rather than assuming full coverage</w:t>
            </w:r>
          </w:p>
        </w:tc>
      </w:tr>
      <w:tr>
        <w:tc>
          <w:tcPr>
            <w:tcW w:type="dxa" w:w="3350"/>
            <w:tcMar>
              <w:top w:type="dxa" w:w="100"/>
              <w:left w:type="dxa" w:w="120"/>
              <w:bottom w:type="dxa" w:w="100"/>
              <w:right w:type="dxa" w:w="120"/>
            </w:tcMar>
          </w:tcPr>
          <w:p>
            <w:r>
              <w:rPr>
                <w:b w:val="false"/>
                <w:bCs w:val="false"/>
                <w:color w:val="2A2A2A"/>
                <w:sz w:val="19"/>
                <w:szCs w:val="19"/>
              </w:rPr>
              <w:t xml:space="preserve">Model drift as product mix or line configuration changes</w:t>
            </w:r>
          </w:p>
        </w:tc>
        <w:tc>
          <w:tcPr>
            <w:tcW w:type="dxa" w:w="6000"/>
            <w:tcMar>
              <w:top w:type="dxa" w:w="100"/>
              <w:left w:type="dxa" w:w="120"/>
              <w:bottom w:type="dxa" w:w="100"/>
              <w:right w:type="dxa" w:w="120"/>
            </w:tcMar>
          </w:tcPr>
          <w:p>
            <w:r>
              <w:rPr>
                <w:b w:val="false"/>
                <w:bCs w:val="false"/>
                <w:color w:val="2A2A2A"/>
                <w:sz w:val="19"/>
                <w:szCs w:val="19"/>
              </w:rPr>
              <w:t xml:space="preserve">Rolling re-validation against real outcomes; alerts automatically demoted back to shadow mode if precision drops below threshold</w:t>
            </w:r>
          </w:p>
        </w:tc>
      </w:tr>
      <w:tr>
        <w:tc>
          <w:tcPr>
            <w:tcW w:type="dxa" w:w="3350"/>
            <w:tcMar>
              <w:top w:type="dxa" w:w="100"/>
              <w:left w:type="dxa" w:w="120"/>
              <w:bottom w:type="dxa" w:w="100"/>
              <w:right w:type="dxa" w:w="120"/>
            </w:tcMar>
          </w:tcPr>
          <w:p>
            <w:r>
              <w:rPr>
                <w:b w:val="false"/>
                <w:bCs w:val="false"/>
                <w:color w:val="2A2A2A"/>
                <w:sz w:val="19"/>
                <w:szCs w:val="19"/>
              </w:rPr>
              <w:t xml:space="preserve">Twin doesn't generalize across plants with different layouts</w:t>
            </w:r>
          </w:p>
        </w:tc>
        <w:tc>
          <w:tcPr>
            <w:tcW w:type="dxa" w:w="6000"/>
            <w:tcMar>
              <w:top w:type="dxa" w:w="100"/>
              <w:left w:type="dxa" w:w="120"/>
              <w:bottom w:type="dxa" w:w="100"/>
              <w:right w:type="dxa" w:w="120"/>
            </w:tcMar>
          </w:tcPr>
          <w:p>
            <w:r>
              <w:rPr>
                <w:b w:val="false"/>
                <w:bCs w:val="false"/>
                <w:color w:val="2A2A2A"/>
                <w:sz w:val="19"/>
                <w:szCs w:val="19"/>
              </w:rPr>
              <w:t xml:space="preserve">Station-graph abstraction decouples the analytics layer from any single plant's physical layout; per-site recalibration built into the rollout process</w:t>
            </w:r>
          </w:p>
        </w:tc>
      </w:tr>
    </w:tbl>
    <w:p>
      <w:pPr>
        <w:pStyle w:val="Heading1"/>
        <w:pBdr>
          <w:bottom w:val="single" w:color="0E7C7B" w:sz="6" w:space="4"/>
        </w:pBdr>
        <w:spacing w:after="160" w:before="360"/>
      </w:pPr>
      <w:r>
        <w:rPr>
          <w:b/>
          <w:bCs/>
          <w:color w:val="1F2A44"/>
          <w:sz w:val="30"/>
          <w:szCs w:val="30"/>
        </w:rPr>
        <w:t xml:space="preserve">8. Assumptions</w:t>
      </w:r>
    </w:p>
    <w:p>
      <w:pPr>
        <w:spacing w:after="160" w:line="276"/>
      </w:pPr>
      <w:r>
        <w:rPr>
          <w:color w:val="2A2A2A"/>
          <w:sz w:val="21"/>
          <w:szCs w:val="21"/>
        </w:rPr>
        <w:t xml:space="preserve">These are illustrative and stated explicitly, consistent with Round 2 guidance:</w:t>
      </w:r>
    </w:p>
    <w:p>
      <w:pPr>
        <w:pStyle w:val="ListParagraph"/>
        <w:numPr>
          <w:ilvl w:val="0"/>
          <w:numId w:val="2"/>
        </w:numPr>
        <w:spacing w:after="90" w:line="268"/>
      </w:pPr>
      <w:r>
        <w:rPr>
          <w:color w:val="2A2A2A"/>
          <w:sz w:val="21"/>
          <w:szCs w:val="21"/>
        </w:rPr>
        <w:t xml:space="preserve">A mixed-model line of 30-50 stations across body construction, paint, and final assembly (42 stations used for prototype and business-case sizing).</w:t>
      </w:r>
    </w:p>
    <w:p>
      <w:pPr>
        <w:pStyle w:val="ListParagraph"/>
        <w:numPr>
          <w:ilvl w:val="0"/>
          <w:numId w:val="2"/>
        </w:numPr>
        <w:spacing w:after="90" w:line="268"/>
      </w:pPr>
      <w:r>
        <w:rPr>
          <w:color w:val="2A2A2A"/>
          <w:sz w:val="21"/>
          <w:szCs w:val="21"/>
        </w:rPr>
        <w:t xml:space="preserve">A majority of stations well-instrumented; a meaningful minority (assumed ~25%) reliant on manual checklists.</w:t>
      </w:r>
    </w:p>
    <w:p>
      <w:pPr>
        <w:pStyle w:val="ListParagraph"/>
        <w:numPr>
          <w:ilvl w:val="0"/>
          <w:numId w:val="2"/>
        </w:numPr>
        <w:spacing w:after="90" w:line="268"/>
      </w:pPr>
      <w:r>
        <w:rPr>
          <w:color w:val="2A2A2A"/>
          <w:sz w:val="21"/>
          <w:szCs w:val="21"/>
        </w:rPr>
        <w:t xml:space="preserve">Production can only be paused for instrumentation changes during a small number of scheduled maintenance windows per year.</w:t>
      </w:r>
    </w:p>
    <w:p>
      <w:pPr>
        <w:pStyle w:val="ListParagraph"/>
        <w:numPr>
          <w:ilvl w:val="0"/>
          <w:numId w:val="2"/>
        </w:numPr>
        <w:spacing w:after="90" w:line="268"/>
      </w:pPr>
      <w:r>
        <w:rPr>
          <w:color w:val="2A2A2A"/>
          <w:sz w:val="21"/>
          <w:szCs w:val="21"/>
        </w:rPr>
        <w:t xml:space="preserve">Baseline downtime and defect-escape figures above are directional placeholders for illustration; a real deployment would calibrate these against the pilot plant's own historical data during Phase 0.</w:t>
      </w:r>
    </w:p>
    <w:p>
      <w:pPr>
        <w:pStyle w:val="Heading1"/>
        <w:pBdr>
          <w:bottom w:val="single" w:color="0E7C7B" w:sz="6" w:space="4"/>
        </w:pBdr>
        <w:spacing w:after="160" w:before="360"/>
      </w:pPr>
      <w:r>
        <w:rPr>
          <w:b/>
          <w:bCs/>
          <w:color w:val="1F2A44"/>
          <w:sz w:val="30"/>
          <w:szCs w:val="30"/>
        </w:rPr>
        <w:t xml:space="preserve">9. Working Prototype</w:t>
      </w:r>
    </w:p>
    <w:p>
      <w:pPr>
        <w:spacing w:after="160" w:line="276"/>
      </w:pPr>
      <w:r>
        <w:rPr>
          <w:color w:val="2A2A2A"/>
          <w:sz w:val="21"/>
          <w:szCs w:val="21"/>
        </w:rPr>
        <w:t xml:space="preserve">The accompanying prototype (see GitHub repository) is a browser-based simulation of the twin covering a 42-station line. It demonstrates: live station health scoring with SPC-style control limits on instrumented stations; Bayesian-style confidence-scored inference at simulated sensor-poor stations; a bottleneck early-warning feed; a defect backward-trace tool that highlights candidate origin stations and affected unit ranges for a simulated caught defect; and the three role-specific views (floor, plant manager, leadership) driven from one shared underlying simulated twin state. It runs entirely on generated sample data and requires no real plant connection, consistent with the challenge's proof-of-concept expectations.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Accenture Innovation Challenge 2026  |  Page </w:t>
    </w: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B6472"/>
        <w:sz w:val="16"/>
        <w:szCs w:val="16"/>
      </w:rPr>
      <w:t xml:space="preserve">DigitalTwin.ai — Round 2 Business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2026-08-30T15:06:21.761Z</dcterms:created>
  <dcterms:modified xsi:type="dcterms:W3CDTF">2026-08-30T15:06:21.774Z</dcterms:modified>
</cp:coreProperties>
</file>

<file path=docProps/custom.xml><?xml version="1.0" encoding="utf-8"?>
<Properties xmlns="http://schemas.openxmlformats.org/officeDocument/2006/custom-properties" xmlns:vt="http://schemas.openxmlformats.org/officeDocument/2006/docPropsVTypes"/>
</file>