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India changed the expiry weekday of index options many times in 2016–2025.</w:t>
      </w:r>
    </w:p>
    <w:p>
      <w:pPr>
        <w:numPr>
          <w:ilvl w:val="0"/>
          <w:numId w:val="1001"/>
        </w:numPr>
        <w:pStyle w:val="Compact"/>
      </w:pPr>
      <w:r>
        <w:t xml:space="preserve">These changes serve as natural experiments on the effects of options expiry.</w:t>
      </w:r>
    </w:p>
    <w:p>
      <w:pPr>
        <w:numPr>
          <w:ilvl w:val="0"/>
          <w:numId w:val="1001"/>
        </w:numPr>
        <w:pStyle w:val="Compact"/>
      </w:pPr>
      <w:r>
        <w:t xml:space="preserve">Expiry raises volatility over the whole trading day little, if at all.</w:t>
      </w:r>
    </w:p>
    <w:p>
      <w:pPr>
        <w:numPr>
          <w:ilvl w:val="0"/>
          <w:numId w:val="1001"/>
        </w:numPr>
        <w:pStyle w:val="Compact"/>
      </w:pPr>
      <w:r>
        <w:t xml:space="preserve">Settlement-window (15:00–15:30) volatility is 53–67% higher on expiry days.</w:t>
      </w:r>
    </w:p>
    <w:p>
      <w:pPr>
        <w:numPr>
          <w:ilvl w:val="0"/>
          <w:numId w:val="1001"/>
        </w:numPr>
        <w:pStyle w:val="Compact"/>
      </w:pPr>
      <w:r>
        <w:t xml:space="preserve">This effect moves with the expiry weekday and stayed large after SEBI’s 2024 rules.</w:t>
      </w:r>
    </w:p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2026-10-02T11:04:13Z</dcterms:created>
  <dcterms:modified xsi:type="dcterms:W3CDTF">2026-10-02T11:04:13Z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