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for:</w:t>
      </w:r>
      <w:r>
        <w:t xml:space="preserve"> </w:t>
      </w:r>
      <w:r>
        <w:t xml:space="preserve">Expiry</w:t>
      </w:r>
      <w:r>
        <w:t xml:space="preserve"> </w:t>
      </w:r>
      <w:r>
        <w:t xml:space="preserve">Moves</w:t>
      </w:r>
      <w:r>
        <w:t xml:space="preserve"> </w:t>
      </w:r>
      <w:r>
        <w:t xml:space="preserve">the</w:t>
      </w:r>
      <w:r>
        <w:t xml:space="preserve"> </w:t>
      </w:r>
      <w:r>
        <w:t xml:space="preserve">Close,</w:t>
      </w:r>
      <w:r>
        <w:t xml:space="preserve"> </w:t>
      </w:r>
      <w:r>
        <w:t xml:space="preserve">Not</w:t>
      </w:r>
      <w:r>
        <w:t xml:space="preserve"> </w:t>
      </w:r>
      <w:r>
        <w:t xml:space="preserve">the</w:t>
      </w:r>
      <w:r>
        <w:t xml:space="preserve"> </w:t>
      </w:r>
      <w:r>
        <w:t xml:space="preserve">Day:</w:t>
      </w:r>
      <w:r>
        <w:t xml:space="preserve"> </w:t>
      </w:r>
      <w:r>
        <w:t xml:space="preserve">Natural</w:t>
      </w:r>
      <w:r>
        <w:t xml:space="preserve"> </w:t>
      </w:r>
      <w:r>
        <w:t xml:space="preserve">Experiments</w:t>
      </w:r>
      <w:r>
        <w:t xml:space="preserve"> </w:t>
      </w:r>
      <w:r>
        <w:t xml:space="preserve">from</w:t>
      </w:r>
      <w:r>
        <w:t xml:space="preserve"> </w:t>
      </w:r>
      <w:r>
        <w:t xml:space="preserve">India’s</w:t>
      </w:r>
      <w:r>
        <w:t xml:space="preserve"> </w:t>
      </w:r>
      <w:r>
        <w:t xml:space="preserve">Changing</w:t>
      </w:r>
      <w:r>
        <w:t xml:space="preserve"> </w:t>
      </w:r>
      <w:r>
        <w:t xml:space="preserve">Options</w:t>
      </w:r>
      <w:r>
        <w:t xml:space="preserve"> </w:t>
      </w:r>
      <w:r>
        <w:t xml:space="preserve">Expiry</w:t>
      </w:r>
      <w:r>
        <w:t xml:space="preserve"> </w:t>
      </w:r>
      <w:r>
        <w:t xml:space="preserve">Calendar</w:t>
      </w:r>
    </w:p>
    <w:p>
      <w:pPr>
        <w:pStyle w:val="FirstParagraph"/>
      </w:pPr>
      <w:r>
        <w:t xml:space="preserve">This supplement reports the full expiry calendar and additional results referred to in the main text. All estimates use the specifications of the main text unless stated otherwise. Standard errors clustered by calendar week are in parentheses; *, ** and *** denote significance at the 10%, 5% and 1% levels.</w:t>
      </w:r>
    </w:p>
    <w:bookmarkStart w:id="20" w:name="X13132cf16b720b51afc8c917a8be586a61f909d"/>
    <w:p>
      <w:pPr>
        <w:pStyle w:val="Heading1"/>
      </w:pPr>
      <w:r>
        <w:t xml:space="preserve">S1. Expiry rules of Indian index options, 2014–2026</w:t>
      </w:r>
    </w:p>
    <w:p>
      <w:pPr>
        <w:pStyle w:val="FirstParagraph"/>
      </w:pPr>
      <w:r>
        <w:rPr>
          <w:bCs/>
          <w:b/>
        </w:rPr>
        <w:t xml:space="preserve">Table S1.</w:t>
      </w:r>
      <w:r>
        <w:t xml:space="preserve"> </w:t>
      </w:r>
      <w:r>
        <w:t xml:space="preserve">Expiry rules by product</w:t>
      </w:r>
    </w:p>
    <w:tbl>
      <w:tblPr>
        <w:tblStyle w:val="Table"/>
        <w:tblW w:type="pct" w:w="5000"/>
        <w:tblLook w:firstRow="1" w:lastRow="0" w:firstColumn="0" w:lastColumn="0" w:noHBand="0" w:noVBand="0" w:val="0020"/>
        <w:jc w:val="start"/>
      </w:tblPr>
      <w:tblGrid>
        <w:gridCol w:w="990"/>
        <w:gridCol w:w="990"/>
        <w:gridCol w:w="630"/>
        <w:gridCol w:w="810"/>
        <w:gridCol w:w="4500"/>
      </w:tblGrid>
      <w:tr>
        <w:trPr>
          <w:tblHeader w:val="true"/>
        </w:trPr>
        <w:tc>
          <w:tcPr/>
          <w:p>
            <w:pPr>
              <w:pStyle w:val="Compact"/>
              <w:jc w:val="left"/>
            </w:pPr>
            <w:r>
              <w:t xml:space="preserve">Product</w:t>
            </w:r>
          </w:p>
        </w:tc>
        <w:tc>
          <w:tcPr/>
          <w:p>
            <w:pPr>
              <w:pStyle w:val="Compact"/>
              <w:jc w:val="left"/>
            </w:pPr>
            <w:r>
              <w:t xml:space="preserve">From</w:t>
            </w:r>
          </w:p>
        </w:tc>
        <w:tc>
          <w:tcPr/>
          <w:p>
            <w:pPr>
              <w:pStyle w:val="Compact"/>
              <w:jc w:val="left"/>
            </w:pPr>
            <w:r>
              <w:t xml:space="preserve">Weekly</w:t>
            </w:r>
          </w:p>
        </w:tc>
        <w:tc>
          <w:tcPr/>
          <w:p>
            <w:pPr>
              <w:pStyle w:val="Compact"/>
              <w:jc w:val="left"/>
            </w:pPr>
            <w:r>
              <w:t xml:space="preserve">Monthly</w:t>
            </w:r>
          </w:p>
        </w:tc>
        <w:tc>
          <w:tcPr/>
          <w:p>
            <w:pPr>
              <w:pStyle w:val="Compact"/>
              <w:jc w:val="left"/>
            </w:pPr>
            <w:r>
              <w:t xml:space="preserve">Note</w:t>
            </w:r>
          </w:p>
        </w:tc>
      </w:tr>
      <w:tr>
        <w:tc>
          <w:tcPr/>
          <w:p>
            <w:pPr>
              <w:pStyle w:val="Compact"/>
              <w:jc w:val="left"/>
            </w:pPr>
            <w:r>
              <w:t xml:space="preserve">NIFTY</w:t>
            </w:r>
          </w:p>
        </w:tc>
        <w:tc>
          <w:tcPr/>
          <w:p>
            <w:pPr>
              <w:pStyle w:val="Compact"/>
              <w:jc w:val="left"/>
            </w:pPr>
            <w:r>
              <w:t xml:space="preserve">before 2014</w:t>
            </w:r>
          </w:p>
        </w:tc>
        <w:tc>
          <w:tcPr/>
          <w:p>
            <w:pPr>
              <w:pStyle w:val="Compact"/>
              <w:jc w:val="left"/>
            </w:pPr>
            <w:r>
              <w:t xml:space="preserve">-</w:t>
            </w:r>
          </w:p>
        </w:tc>
        <w:tc>
          <w:tcPr/>
          <w:p>
            <w:pPr>
              <w:pStyle w:val="Compact"/>
              <w:jc w:val="left"/>
            </w:pPr>
            <w:r>
              <w:t xml:space="preserve">last Thu</w:t>
            </w:r>
          </w:p>
        </w:tc>
        <w:tc>
          <w:tcPr/>
          <w:p>
            <w:pPr>
              <w:pStyle w:val="Compact"/>
              <w:jc w:val="left"/>
            </w:pPr>
            <w:r>
              <w:t xml:space="preserve">monthly contracts only</w:t>
            </w:r>
          </w:p>
        </w:tc>
      </w:tr>
      <w:tr>
        <w:tc>
          <w:tcPr/>
          <w:p>
            <w:pPr>
              <w:pStyle w:val="Compact"/>
              <w:jc w:val="left"/>
            </w:pPr>
            <w:r>
              <w:t xml:space="preserve">NIFTY</w:t>
            </w:r>
          </w:p>
        </w:tc>
        <w:tc>
          <w:tcPr/>
          <w:p>
            <w:pPr>
              <w:pStyle w:val="Compact"/>
              <w:jc w:val="left"/>
            </w:pPr>
            <w:r>
              <w:t xml:space="preserve">2019-02-11</w:t>
            </w:r>
          </w:p>
        </w:tc>
        <w:tc>
          <w:tcPr/>
          <w:p>
            <w:pPr>
              <w:pStyle w:val="Compact"/>
              <w:jc w:val="left"/>
            </w:pPr>
            <w:r>
              <w:t xml:space="preserve">Thu</w:t>
            </w:r>
          </w:p>
        </w:tc>
        <w:tc>
          <w:tcPr/>
          <w:p>
            <w:pPr>
              <w:pStyle w:val="Compact"/>
              <w:jc w:val="left"/>
            </w:pPr>
            <w:r>
              <w:t xml:space="preserve">last Thu</w:t>
            </w:r>
          </w:p>
        </w:tc>
        <w:tc>
          <w:tcPr/>
          <w:p>
            <w:pPr>
              <w:pStyle w:val="Compact"/>
              <w:jc w:val="left"/>
            </w:pPr>
            <w:r>
              <w:t xml:space="preserve">weekly options launched 11 Feb 2019 (Thursday)</w:t>
            </w:r>
          </w:p>
        </w:tc>
      </w:tr>
      <w:tr>
        <w:tc>
          <w:tcPr/>
          <w:p>
            <w:pPr>
              <w:pStyle w:val="Compact"/>
              <w:jc w:val="left"/>
            </w:pPr>
            <w:r>
              <w:t xml:space="preserve">NIFTY</w:t>
            </w:r>
          </w:p>
        </w:tc>
        <w:tc>
          <w:tcPr/>
          <w:p>
            <w:pPr>
              <w:pStyle w:val="Compact"/>
              <w:jc w:val="left"/>
            </w:pPr>
            <w:r>
              <w:t xml:space="preserve">2025-09-01</w:t>
            </w:r>
          </w:p>
        </w:tc>
        <w:tc>
          <w:tcPr/>
          <w:p>
            <w:pPr>
              <w:pStyle w:val="Compact"/>
              <w:jc w:val="left"/>
            </w:pPr>
            <w:r>
              <w:t xml:space="preserve">Tue</w:t>
            </w:r>
          </w:p>
        </w:tc>
        <w:tc>
          <w:tcPr/>
          <w:p>
            <w:pPr>
              <w:pStyle w:val="Compact"/>
              <w:jc w:val="left"/>
            </w:pPr>
            <w:r>
              <w:t xml:space="preserve">last Tue</w:t>
            </w:r>
          </w:p>
        </w:tc>
        <w:tc>
          <w:tcPr/>
          <w:p>
            <w:pPr>
              <w:pStyle w:val="Compact"/>
              <w:jc w:val="left"/>
            </w:pPr>
            <w:r>
              <w:t xml:space="preserve">NSE moves all expiries to Tuesday (last Thursday expiry 28 Aug 2025)</w:t>
            </w:r>
          </w:p>
        </w:tc>
      </w:tr>
      <w:tr>
        <w:tc>
          <w:tcPr/>
          <w:p>
            <w:pPr>
              <w:pStyle w:val="Compact"/>
              <w:jc w:val="left"/>
            </w:pPr>
            <w:r>
              <w:t xml:space="preserve">BANKNIFTY</w:t>
            </w:r>
          </w:p>
        </w:tc>
        <w:tc>
          <w:tcPr/>
          <w:p>
            <w:pPr>
              <w:pStyle w:val="Compact"/>
              <w:jc w:val="left"/>
            </w:pPr>
            <w:r>
              <w:t xml:space="preserve">before 2014</w:t>
            </w:r>
          </w:p>
        </w:tc>
        <w:tc>
          <w:tcPr/>
          <w:p>
            <w:pPr>
              <w:pStyle w:val="Compact"/>
              <w:jc w:val="left"/>
            </w:pPr>
            <w:r>
              <w:t xml:space="preserve">-</w:t>
            </w:r>
          </w:p>
        </w:tc>
        <w:tc>
          <w:tcPr/>
          <w:p>
            <w:pPr>
              <w:pStyle w:val="Compact"/>
              <w:jc w:val="left"/>
            </w:pPr>
            <w:r>
              <w:t xml:space="preserve">last Thu</w:t>
            </w:r>
          </w:p>
        </w:tc>
        <w:tc>
          <w:tcPr/>
          <w:p>
            <w:pPr>
              <w:pStyle w:val="Compact"/>
              <w:jc w:val="left"/>
            </w:pPr>
            <w:r>
              <w:t xml:space="preserve">monthly contracts only</w:t>
            </w:r>
          </w:p>
        </w:tc>
      </w:tr>
      <w:tr>
        <w:tc>
          <w:tcPr/>
          <w:p>
            <w:pPr>
              <w:pStyle w:val="Compact"/>
              <w:jc w:val="left"/>
            </w:pPr>
            <w:r>
              <w:t xml:space="preserve">BANKNIFTY</w:t>
            </w:r>
          </w:p>
        </w:tc>
        <w:tc>
          <w:tcPr/>
          <w:p>
            <w:pPr>
              <w:pStyle w:val="Compact"/>
              <w:jc w:val="left"/>
            </w:pPr>
            <w:r>
              <w:t xml:space="preserve">2016-05-27</w:t>
            </w:r>
          </w:p>
        </w:tc>
        <w:tc>
          <w:tcPr/>
          <w:p>
            <w:pPr>
              <w:pStyle w:val="Compact"/>
              <w:jc w:val="left"/>
            </w:pPr>
            <w:r>
              <w:t xml:space="preserve">Thu</w:t>
            </w:r>
          </w:p>
        </w:tc>
        <w:tc>
          <w:tcPr/>
          <w:p>
            <w:pPr>
              <w:pStyle w:val="Compact"/>
              <w:jc w:val="left"/>
            </w:pPr>
            <w:r>
              <w:t xml:space="preserve">last Thu</w:t>
            </w:r>
          </w:p>
        </w:tc>
        <w:tc>
          <w:tcPr/>
          <w:p>
            <w:pPr>
              <w:pStyle w:val="Compact"/>
              <w:jc w:val="left"/>
            </w:pPr>
            <w:r>
              <w:t xml:space="preserve">weekly options launched 27 May 2016 (Thursday)</w:t>
            </w:r>
          </w:p>
        </w:tc>
      </w:tr>
      <w:tr>
        <w:tc>
          <w:tcPr/>
          <w:p>
            <w:pPr>
              <w:pStyle w:val="Compact"/>
              <w:jc w:val="left"/>
            </w:pPr>
            <w:r>
              <w:t xml:space="preserve">BANKNIFTY</w:t>
            </w:r>
          </w:p>
        </w:tc>
        <w:tc>
          <w:tcPr/>
          <w:p>
            <w:pPr>
              <w:pStyle w:val="Compact"/>
              <w:jc w:val="left"/>
            </w:pPr>
            <w:r>
              <w:t xml:space="preserve">2023-09-04</w:t>
            </w:r>
          </w:p>
        </w:tc>
        <w:tc>
          <w:tcPr/>
          <w:p>
            <w:pPr>
              <w:pStyle w:val="Compact"/>
              <w:jc w:val="left"/>
            </w:pPr>
            <w:r>
              <w:t xml:space="preserve">Wed</w:t>
            </w:r>
          </w:p>
        </w:tc>
        <w:tc>
          <w:tcPr/>
          <w:p>
            <w:pPr>
              <w:pStyle w:val="Compact"/>
              <w:jc w:val="left"/>
            </w:pPr>
            <w:r>
              <w:t xml:space="preserve">last Thu</w:t>
            </w:r>
          </w:p>
        </w:tc>
        <w:tc>
          <w:tcPr/>
          <w:p>
            <w:pPr>
              <w:pStyle w:val="Compact"/>
              <w:jc w:val="left"/>
            </w:pPr>
            <w:r>
              <w:t xml:space="preserve">weekly moved to Wednesday (first 6 Sep 2023); monthly stays last Thursday</w:t>
            </w:r>
          </w:p>
        </w:tc>
      </w:tr>
      <w:tr>
        <w:tc>
          <w:tcPr/>
          <w:p>
            <w:pPr>
              <w:pStyle w:val="Compact"/>
              <w:jc w:val="left"/>
            </w:pPr>
            <w:r>
              <w:t xml:space="preserve">BANKNIFTY</w:t>
            </w:r>
          </w:p>
        </w:tc>
        <w:tc>
          <w:tcPr/>
          <w:p>
            <w:pPr>
              <w:pStyle w:val="Compact"/>
              <w:jc w:val="left"/>
            </w:pPr>
            <w:r>
              <w:t xml:space="preserve">2024-03-01</w:t>
            </w:r>
          </w:p>
        </w:tc>
        <w:tc>
          <w:tcPr/>
          <w:p>
            <w:pPr>
              <w:pStyle w:val="Compact"/>
              <w:jc w:val="left"/>
            </w:pPr>
            <w:r>
              <w:t xml:space="preserve">Wed</w:t>
            </w:r>
          </w:p>
        </w:tc>
        <w:tc>
          <w:tcPr/>
          <w:p>
            <w:pPr>
              <w:pStyle w:val="Compact"/>
              <w:jc w:val="left"/>
            </w:pPr>
            <w:r>
              <w:t xml:space="preserve">last Wed</w:t>
            </w:r>
          </w:p>
        </w:tc>
        <w:tc>
          <w:tcPr/>
          <w:p>
            <w:pPr>
              <w:pStyle w:val="Compact"/>
              <w:jc w:val="left"/>
            </w:pPr>
            <w:r>
              <w:t xml:space="preserve">monthly moved to last Wednesday (first 27 Mar 2024)</w:t>
            </w:r>
          </w:p>
        </w:tc>
      </w:tr>
      <w:tr>
        <w:tc>
          <w:tcPr/>
          <w:p>
            <w:pPr>
              <w:pStyle w:val="Compact"/>
              <w:jc w:val="left"/>
            </w:pPr>
            <w:r>
              <w:t xml:space="preserve">BANKNIFTY</w:t>
            </w:r>
          </w:p>
        </w:tc>
        <w:tc>
          <w:tcPr/>
          <w:p>
            <w:pPr>
              <w:pStyle w:val="Compact"/>
              <w:jc w:val="left"/>
            </w:pPr>
            <w:r>
              <w:t xml:space="preserve">2024-11-20</w:t>
            </w:r>
          </w:p>
        </w:tc>
        <w:tc>
          <w:tcPr/>
          <w:p>
            <w:pPr>
              <w:pStyle w:val="Compact"/>
              <w:jc w:val="left"/>
            </w:pPr>
            <w:r>
              <w:t xml:space="preserve">-</w:t>
            </w:r>
          </w:p>
        </w:tc>
        <w:tc>
          <w:tcPr/>
          <w:p>
            <w:pPr>
              <w:pStyle w:val="Compact"/>
              <w:jc w:val="left"/>
            </w:pPr>
            <w:r>
              <w:t xml:space="preserve">last Wed</w:t>
            </w:r>
          </w:p>
        </w:tc>
        <w:tc>
          <w:tcPr/>
          <w:p>
            <w:pPr>
              <w:pStyle w:val="Compact"/>
              <w:jc w:val="left"/>
            </w:pPr>
            <w:r>
              <w:t xml:space="preserve">weekly contracts discontinued (SEBI; last weekly 13 Nov 2024)</w:t>
            </w:r>
          </w:p>
        </w:tc>
      </w:tr>
      <w:tr>
        <w:tc>
          <w:tcPr/>
          <w:p>
            <w:pPr>
              <w:pStyle w:val="Compact"/>
              <w:jc w:val="left"/>
            </w:pPr>
            <w:r>
              <w:t xml:space="preserve">BANKNIFTY</w:t>
            </w:r>
          </w:p>
        </w:tc>
        <w:tc>
          <w:tcPr/>
          <w:p>
            <w:pPr>
              <w:pStyle w:val="Compact"/>
              <w:jc w:val="left"/>
            </w:pPr>
            <w:r>
              <w:t xml:space="preserve">2025-01-02</w:t>
            </w:r>
          </w:p>
        </w:tc>
        <w:tc>
          <w:tcPr/>
          <w:p>
            <w:pPr>
              <w:pStyle w:val="Compact"/>
              <w:jc w:val="left"/>
            </w:pPr>
            <w:r>
              <w:t xml:space="preserve">-</w:t>
            </w:r>
          </w:p>
        </w:tc>
        <w:tc>
          <w:tcPr/>
          <w:p>
            <w:pPr>
              <w:pStyle w:val="Compact"/>
              <w:jc w:val="left"/>
            </w:pPr>
            <w:r>
              <w:t xml:space="preserve">last Thu</w:t>
            </w:r>
          </w:p>
        </w:tc>
        <w:tc>
          <w:tcPr/>
          <w:p>
            <w:pPr>
              <w:pStyle w:val="Compact"/>
              <w:jc w:val="left"/>
            </w:pPr>
            <w:r>
              <w:t xml:space="preserve">monthly moved to last Thursday (NSE circular, 29 Nov 2024)</w:t>
            </w:r>
          </w:p>
        </w:tc>
      </w:tr>
      <w:tr>
        <w:tc>
          <w:tcPr/>
          <w:p>
            <w:pPr>
              <w:pStyle w:val="Compact"/>
              <w:jc w:val="left"/>
            </w:pPr>
            <w:r>
              <w:t xml:space="preserve">BANKNIFTY</w:t>
            </w:r>
          </w:p>
        </w:tc>
        <w:tc>
          <w:tcPr/>
          <w:p>
            <w:pPr>
              <w:pStyle w:val="Compact"/>
              <w:jc w:val="left"/>
            </w:pPr>
            <w:r>
              <w:t xml:space="preserve">2025-09-01</w:t>
            </w:r>
          </w:p>
        </w:tc>
        <w:tc>
          <w:tcPr/>
          <w:p>
            <w:pPr>
              <w:pStyle w:val="Compact"/>
              <w:jc w:val="left"/>
            </w:pPr>
            <w:r>
              <w:t xml:space="preserve">-</w:t>
            </w:r>
          </w:p>
        </w:tc>
        <w:tc>
          <w:tcPr/>
          <w:p>
            <w:pPr>
              <w:pStyle w:val="Compact"/>
              <w:jc w:val="left"/>
            </w:pPr>
            <w:r>
              <w:t xml:space="preserve">last Tue</w:t>
            </w:r>
          </w:p>
        </w:tc>
        <w:tc>
          <w:tcPr/>
          <w:p>
            <w:pPr>
              <w:pStyle w:val="Compact"/>
              <w:jc w:val="left"/>
            </w:pPr>
            <w:r>
              <w:t xml:space="preserve">monthly moved to last Tuesday</w:t>
            </w:r>
          </w:p>
        </w:tc>
      </w:tr>
      <w:tr>
        <w:tc>
          <w:tcPr/>
          <w:p>
            <w:pPr>
              <w:pStyle w:val="Compact"/>
              <w:jc w:val="left"/>
            </w:pPr>
            <w:r>
              <w:t xml:space="preserve">SENSEX</w:t>
            </w:r>
          </w:p>
        </w:tc>
        <w:tc>
          <w:tcPr/>
          <w:p>
            <w:pPr>
              <w:pStyle w:val="Compact"/>
              <w:jc w:val="left"/>
            </w:pPr>
            <w:r>
              <w:t xml:space="preserve">2023-05-15</w:t>
            </w:r>
          </w:p>
        </w:tc>
        <w:tc>
          <w:tcPr/>
          <w:p>
            <w:pPr>
              <w:pStyle w:val="Compact"/>
              <w:jc w:val="left"/>
            </w:pPr>
            <w:r>
              <w:t xml:space="preserve">Fri</w:t>
            </w:r>
          </w:p>
        </w:tc>
        <w:tc>
          <w:tcPr/>
          <w:p>
            <w:pPr>
              <w:pStyle w:val="Compact"/>
              <w:jc w:val="left"/>
            </w:pPr>
            <w:r>
              <w:t xml:space="preserve">last Fri</w:t>
            </w:r>
          </w:p>
        </w:tc>
        <w:tc>
          <w:tcPr/>
          <w:p>
            <w:pPr>
              <w:pStyle w:val="Compact"/>
              <w:jc w:val="left"/>
            </w:pPr>
            <w:r>
              <w:t xml:space="preserve">relaunched 15 May 2023 with Friday expiry</w:t>
            </w:r>
          </w:p>
        </w:tc>
      </w:tr>
      <w:tr>
        <w:tc>
          <w:tcPr/>
          <w:p>
            <w:pPr>
              <w:pStyle w:val="Compact"/>
              <w:jc w:val="left"/>
            </w:pPr>
            <w:r>
              <w:t xml:space="preserve">SENSEX</w:t>
            </w:r>
          </w:p>
        </w:tc>
        <w:tc>
          <w:tcPr/>
          <w:p>
            <w:pPr>
              <w:pStyle w:val="Compact"/>
              <w:jc w:val="left"/>
            </w:pPr>
            <w:r>
              <w:t xml:space="preserve">2025-01-04</w:t>
            </w:r>
          </w:p>
        </w:tc>
        <w:tc>
          <w:tcPr/>
          <w:p>
            <w:pPr>
              <w:pStyle w:val="Compact"/>
              <w:jc w:val="left"/>
            </w:pPr>
            <w:r>
              <w:t xml:space="preserve">Tue</w:t>
            </w:r>
          </w:p>
        </w:tc>
        <w:tc>
          <w:tcPr/>
          <w:p>
            <w:pPr>
              <w:pStyle w:val="Compact"/>
              <w:jc w:val="left"/>
            </w:pPr>
            <w:r>
              <w:t xml:space="preserve">last Tue</w:t>
            </w:r>
          </w:p>
        </w:tc>
        <w:tc>
          <w:tcPr/>
          <w:p>
            <w:pPr>
              <w:pStyle w:val="Compact"/>
              <w:jc w:val="left"/>
            </w:pPr>
            <w:r>
              <w:t xml:space="preserve">moved to Tuesday from 1 Jan 2025 (last Friday expiry 3 Jan, first Tuesday 7 Jan)</w:t>
            </w:r>
          </w:p>
        </w:tc>
      </w:tr>
      <w:tr>
        <w:tc>
          <w:tcPr/>
          <w:p>
            <w:pPr>
              <w:pStyle w:val="Compact"/>
              <w:jc w:val="left"/>
            </w:pPr>
            <w:r>
              <w:t xml:space="preserve">SENSEX</w:t>
            </w:r>
          </w:p>
        </w:tc>
        <w:tc>
          <w:tcPr/>
          <w:p>
            <w:pPr>
              <w:pStyle w:val="Compact"/>
              <w:jc w:val="left"/>
            </w:pPr>
            <w:r>
              <w:t xml:space="preserve">2025-09-01</w:t>
            </w:r>
          </w:p>
        </w:tc>
        <w:tc>
          <w:tcPr/>
          <w:p>
            <w:pPr>
              <w:pStyle w:val="Compact"/>
              <w:jc w:val="left"/>
            </w:pPr>
            <w:r>
              <w:t xml:space="preserve">Thu</w:t>
            </w:r>
          </w:p>
        </w:tc>
        <w:tc>
          <w:tcPr/>
          <w:p>
            <w:pPr>
              <w:pStyle w:val="Compact"/>
              <w:jc w:val="left"/>
            </w:pPr>
            <w:r>
              <w:t xml:space="preserve">last Thu</w:t>
            </w:r>
          </w:p>
        </w:tc>
        <w:tc>
          <w:tcPr/>
          <w:p>
            <w:pPr>
              <w:pStyle w:val="Compact"/>
              <w:jc w:val="left"/>
            </w:pPr>
            <w:r>
              <w:t xml:space="preserve">moved to Thursday from 1 Sep 2025</w:t>
            </w:r>
          </w:p>
        </w:tc>
      </w:tr>
      <w:tr>
        <w:tc>
          <w:tcPr/>
          <w:p>
            <w:pPr>
              <w:pStyle w:val="Compact"/>
              <w:jc w:val="left"/>
            </w:pPr>
            <w:r>
              <w:t xml:space="preserve">FINNIFTY</w:t>
            </w:r>
          </w:p>
        </w:tc>
        <w:tc>
          <w:tcPr/>
          <w:p>
            <w:pPr>
              <w:pStyle w:val="Compact"/>
              <w:jc w:val="left"/>
            </w:pPr>
            <w:r>
              <w:t xml:space="preserve">2021-01-11</w:t>
            </w:r>
          </w:p>
        </w:tc>
        <w:tc>
          <w:tcPr/>
          <w:p>
            <w:pPr>
              <w:pStyle w:val="Compact"/>
              <w:jc w:val="left"/>
            </w:pPr>
            <w:r>
              <w:t xml:space="preserve">Thu</w:t>
            </w:r>
          </w:p>
        </w:tc>
        <w:tc>
          <w:tcPr/>
          <w:p>
            <w:pPr>
              <w:pStyle w:val="Compact"/>
              <w:jc w:val="left"/>
            </w:pPr>
            <w:r>
              <w:t xml:space="preserve">last Thu</w:t>
            </w:r>
          </w:p>
        </w:tc>
        <w:tc>
          <w:tcPr/>
          <w:p>
            <w:pPr>
              <w:pStyle w:val="Compact"/>
              <w:jc w:val="left"/>
            </w:pPr>
            <w:r>
              <w:t xml:space="preserve">launched 11 Jan 2021 (Thursday)</w:t>
            </w:r>
          </w:p>
        </w:tc>
      </w:tr>
      <w:tr>
        <w:tc>
          <w:tcPr/>
          <w:p>
            <w:pPr>
              <w:pStyle w:val="Compact"/>
              <w:jc w:val="left"/>
            </w:pPr>
            <w:r>
              <w:t xml:space="preserve">FINNIFTY</w:t>
            </w:r>
          </w:p>
        </w:tc>
        <w:tc>
          <w:tcPr/>
          <w:p>
            <w:pPr>
              <w:pStyle w:val="Compact"/>
              <w:jc w:val="left"/>
            </w:pPr>
            <w:r>
              <w:t xml:space="preserve">2021-10-15</w:t>
            </w:r>
          </w:p>
        </w:tc>
        <w:tc>
          <w:tcPr/>
          <w:p>
            <w:pPr>
              <w:pStyle w:val="Compact"/>
              <w:jc w:val="left"/>
            </w:pPr>
            <w:r>
              <w:t xml:space="preserve">Tue</w:t>
            </w:r>
          </w:p>
        </w:tc>
        <w:tc>
          <w:tcPr/>
          <w:p>
            <w:pPr>
              <w:pStyle w:val="Compact"/>
              <w:jc w:val="left"/>
            </w:pPr>
            <w:r>
              <w:t xml:space="preserve">last Tue</w:t>
            </w:r>
          </w:p>
        </w:tc>
        <w:tc>
          <w:tcPr/>
          <w:p>
            <w:pPr>
              <w:pStyle w:val="Compact"/>
              <w:jc w:val="left"/>
            </w:pPr>
            <w:r>
              <w:t xml:space="preserve">moved to Tuesday (first 19 Oct 2021)</w:t>
            </w:r>
          </w:p>
        </w:tc>
      </w:tr>
      <w:tr>
        <w:tc>
          <w:tcPr/>
          <w:p>
            <w:pPr>
              <w:pStyle w:val="Compact"/>
              <w:jc w:val="left"/>
            </w:pPr>
            <w:r>
              <w:t xml:space="preserve">FINNIFTY</w:t>
            </w:r>
          </w:p>
        </w:tc>
        <w:tc>
          <w:tcPr/>
          <w:p>
            <w:pPr>
              <w:pStyle w:val="Compact"/>
              <w:jc w:val="left"/>
            </w:pPr>
            <w:r>
              <w:t xml:space="preserve">2024-11-20</w:t>
            </w:r>
          </w:p>
        </w:tc>
        <w:tc>
          <w:tcPr/>
          <w:p>
            <w:pPr>
              <w:pStyle w:val="Compact"/>
              <w:jc w:val="left"/>
            </w:pPr>
            <w:r>
              <w:t xml:space="preserve">-</w:t>
            </w:r>
          </w:p>
        </w:tc>
        <w:tc>
          <w:tcPr/>
          <w:p>
            <w:pPr>
              <w:pStyle w:val="Compact"/>
              <w:jc w:val="left"/>
            </w:pPr>
            <w:r>
              <w:t xml:space="preserve">last Tue</w:t>
            </w:r>
          </w:p>
        </w:tc>
        <w:tc>
          <w:tcPr/>
          <w:p>
            <w:pPr>
              <w:pStyle w:val="Compact"/>
              <w:jc w:val="left"/>
            </w:pPr>
            <w:r>
              <w:t xml:space="preserve">weekly contracts discontinued (last weekly 19 Nov 2024)</w:t>
            </w:r>
          </w:p>
        </w:tc>
      </w:tr>
      <w:tr>
        <w:tc>
          <w:tcPr/>
          <w:p>
            <w:pPr>
              <w:pStyle w:val="Compact"/>
              <w:jc w:val="left"/>
            </w:pPr>
            <w:r>
              <w:t xml:space="preserve">FINNIFTY</w:t>
            </w:r>
          </w:p>
        </w:tc>
        <w:tc>
          <w:tcPr/>
          <w:p>
            <w:pPr>
              <w:pStyle w:val="Compact"/>
              <w:jc w:val="left"/>
            </w:pPr>
            <w:r>
              <w:t xml:space="preserve">2025-01-02</w:t>
            </w:r>
          </w:p>
        </w:tc>
        <w:tc>
          <w:tcPr/>
          <w:p>
            <w:pPr>
              <w:pStyle w:val="Compact"/>
              <w:jc w:val="left"/>
            </w:pPr>
            <w:r>
              <w:t xml:space="preserve">-</w:t>
            </w:r>
          </w:p>
        </w:tc>
        <w:tc>
          <w:tcPr/>
          <w:p>
            <w:pPr>
              <w:pStyle w:val="Compact"/>
              <w:jc w:val="left"/>
            </w:pPr>
            <w:r>
              <w:t xml:space="preserve">last Thu</w:t>
            </w:r>
          </w:p>
        </w:tc>
        <w:tc>
          <w:tcPr/>
          <w:p>
            <w:pPr>
              <w:pStyle w:val="Compact"/>
              <w:jc w:val="left"/>
            </w:pPr>
            <w:r>
              <w:t xml:space="preserve">monthly moved to last Thursday</w:t>
            </w:r>
          </w:p>
        </w:tc>
      </w:tr>
      <w:tr>
        <w:tc>
          <w:tcPr/>
          <w:p>
            <w:pPr>
              <w:pStyle w:val="Compact"/>
              <w:jc w:val="left"/>
            </w:pPr>
            <w:r>
              <w:t xml:space="preserve">FINNIFTY</w:t>
            </w:r>
          </w:p>
        </w:tc>
        <w:tc>
          <w:tcPr/>
          <w:p>
            <w:pPr>
              <w:pStyle w:val="Compact"/>
              <w:jc w:val="left"/>
            </w:pPr>
            <w:r>
              <w:t xml:space="preserve">2025-09-01</w:t>
            </w:r>
          </w:p>
        </w:tc>
        <w:tc>
          <w:tcPr/>
          <w:p>
            <w:pPr>
              <w:pStyle w:val="Compact"/>
              <w:jc w:val="left"/>
            </w:pPr>
            <w:r>
              <w:t xml:space="preserve">-</w:t>
            </w:r>
          </w:p>
        </w:tc>
        <w:tc>
          <w:tcPr/>
          <w:p>
            <w:pPr>
              <w:pStyle w:val="Compact"/>
              <w:jc w:val="left"/>
            </w:pPr>
            <w:r>
              <w:t xml:space="preserve">last Tue</w:t>
            </w:r>
          </w:p>
        </w:tc>
        <w:tc>
          <w:tcPr/>
          <w:p>
            <w:pPr>
              <w:pStyle w:val="Compact"/>
              <w:jc w:val="left"/>
            </w:pPr>
            <w:r>
              <w:t xml:space="preserve">monthly moved to last Tuesday</w:t>
            </w:r>
          </w:p>
        </w:tc>
      </w:tr>
      <w:tr>
        <w:tc>
          <w:tcPr/>
          <w:p>
            <w:pPr>
              <w:pStyle w:val="Compact"/>
              <w:jc w:val="left"/>
            </w:pPr>
            <w:r>
              <w:t xml:space="preserve">MIDCPNIFTY</w:t>
            </w:r>
          </w:p>
        </w:tc>
        <w:tc>
          <w:tcPr/>
          <w:p>
            <w:pPr>
              <w:pStyle w:val="Compact"/>
              <w:jc w:val="left"/>
            </w:pPr>
            <w:r>
              <w:t xml:space="preserve">2022-01-24</w:t>
            </w:r>
          </w:p>
        </w:tc>
        <w:tc>
          <w:tcPr/>
          <w:p>
            <w:pPr>
              <w:pStyle w:val="Compact"/>
              <w:jc w:val="left"/>
            </w:pPr>
            <w:r>
              <w:t xml:space="preserve">Tue</w:t>
            </w:r>
          </w:p>
        </w:tc>
        <w:tc>
          <w:tcPr/>
          <w:p>
            <w:pPr>
              <w:pStyle w:val="Compact"/>
              <w:jc w:val="left"/>
            </w:pPr>
            <w:r>
              <w:t xml:space="preserve">last Tue</w:t>
            </w:r>
          </w:p>
        </w:tc>
        <w:tc>
          <w:tcPr/>
          <w:p>
            <w:pPr>
              <w:pStyle w:val="Compact"/>
              <w:jc w:val="left"/>
            </w:pPr>
            <w:r>
              <w:t xml:space="preserve">launched 24 Jan 2022 (Tuesday)</w:t>
            </w:r>
          </w:p>
        </w:tc>
      </w:tr>
      <w:tr>
        <w:tc>
          <w:tcPr/>
          <w:p>
            <w:pPr>
              <w:pStyle w:val="Compact"/>
              <w:jc w:val="left"/>
            </w:pPr>
            <w:r>
              <w:t xml:space="preserve">MIDCPNIFTY</w:t>
            </w:r>
          </w:p>
        </w:tc>
        <w:tc>
          <w:tcPr/>
          <w:p>
            <w:pPr>
              <w:pStyle w:val="Compact"/>
              <w:jc w:val="left"/>
            </w:pPr>
            <w:r>
              <w:t xml:space="preserve">2023-08-17</w:t>
            </w:r>
          </w:p>
        </w:tc>
        <w:tc>
          <w:tcPr/>
          <w:p>
            <w:pPr>
              <w:pStyle w:val="Compact"/>
              <w:jc w:val="left"/>
            </w:pPr>
            <w:r>
              <w:t xml:space="preserve">Mon</w:t>
            </w:r>
          </w:p>
        </w:tc>
        <w:tc>
          <w:tcPr/>
          <w:p>
            <w:pPr>
              <w:pStyle w:val="Compact"/>
              <w:jc w:val="left"/>
            </w:pPr>
            <w:r>
              <w:t xml:space="preserve">last Mon</w:t>
            </w:r>
          </w:p>
        </w:tc>
        <w:tc>
          <w:tcPr/>
          <w:p>
            <w:pPr>
              <w:pStyle w:val="Compact"/>
              <w:jc w:val="left"/>
            </w:pPr>
            <w:r>
              <w:t xml:space="preserve">moved to Monday (first 21 Aug 2023)</w:t>
            </w:r>
          </w:p>
        </w:tc>
      </w:tr>
      <w:tr>
        <w:tc>
          <w:tcPr/>
          <w:p>
            <w:pPr>
              <w:pStyle w:val="Compact"/>
              <w:jc w:val="left"/>
            </w:pPr>
            <w:r>
              <w:t xml:space="preserve">MIDCPNIFTY</w:t>
            </w:r>
          </w:p>
        </w:tc>
        <w:tc>
          <w:tcPr/>
          <w:p>
            <w:pPr>
              <w:pStyle w:val="Compact"/>
              <w:jc w:val="left"/>
            </w:pPr>
            <w:r>
              <w:t xml:space="preserve">2024-11-19</w:t>
            </w:r>
          </w:p>
        </w:tc>
        <w:tc>
          <w:tcPr/>
          <w:p>
            <w:pPr>
              <w:pStyle w:val="Compact"/>
              <w:jc w:val="left"/>
            </w:pPr>
            <w:r>
              <w:t xml:space="preserve">-</w:t>
            </w:r>
          </w:p>
        </w:tc>
        <w:tc>
          <w:tcPr/>
          <w:p>
            <w:pPr>
              <w:pStyle w:val="Compact"/>
              <w:jc w:val="left"/>
            </w:pPr>
            <w:r>
              <w:t xml:space="preserve">last Mon</w:t>
            </w:r>
          </w:p>
        </w:tc>
        <w:tc>
          <w:tcPr/>
          <w:p>
            <w:pPr>
              <w:pStyle w:val="Compact"/>
              <w:jc w:val="left"/>
            </w:pPr>
            <w:r>
              <w:t xml:space="preserve">weekly contracts discontinued (last weekly 18 Nov 2024)</w:t>
            </w:r>
          </w:p>
        </w:tc>
      </w:tr>
      <w:tr>
        <w:tc>
          <w:tcPr/>
          <w:p>
            <w:pPr>
              <w:pStyle w:val="Compact"/>
              <w:jc w:val="left"/>
            </w:pPr>
            <w:r>
              <w:t xml:space="preserve">MIDCPNIFTY</w:t>
            </w:r>
          </w:p>
        </w:tc>
        <w:tc>
          <w:tcPr/>
          <w:p>
            <w:pPr>
              <w:pStyle w:val="Compact"/>
              <w:jc w:val="left"/>
            </w:pPr>
            <w:r>
              <w:t xml:space="preserve">2025-01-02</w:t>
            </w:r>
          </w:p>
        </w:tc>
        <w:tc>
          <w:tcPr/>
          <w:p>
            <w:pPr>
              <w:pStyle w:val="Compact"/>
              <w:jc w:val="left"/>
            </w:pPr>
            <w:r>
              <w:t xml:space="preserve">-</w:t>
            </w:r>
          </w:p>
        </w:tc>
        <w:tc>
          <w:tcPr/>
          <w:p>
            <w:pPr>
              <w:pStyle w:val="Compact"/>
              <w:jc w:val="left"/>
            </w:pPr>
            <w:r>
              <w:t xml:space="preserve">last Thu</w:t>
            </w:r>
          </w:p>
        </w:tc>
        <w:tc>
          <w:tcPr/>
          <w:p>
            <w:pPr>
              <w:pStyle w:val="Compact"/>
              <w:jc w:val="left"/>
            </w:pPr>
            <w:r>
              <w:t xml:space="preserve">monthly moved to last Thursday</w:t>
            </w:r>
          </w:p>
        </w:tc>
      </w:tr>
      <w:tr>
        <w:tc>
          <w:tcPr/>
          <w:p>
            <w:pPr>
              <w:pStyle w:val="Compact"/>
              <w:jc w:val="left"/>
            </w:pPr>
            <w:r>
              <w:t xml:space="preserve">MIDCPNIFTY</w:t>
            </w:r>
          </w:p>
        </w:tc>
        <w:tc>
          <w:tcPr/>
          <w:p>
            <w:pPr>
              <w:pStyle w:val="Compact"/>
              <w:jc w:val="left"/>
            </w:pPr>
            <w:r>
              <w:t xml:space="preserve">2025-09-01</w:t>
            </w:r>
          </w:p>
        </w:tc>
        <w:tc>
          <w:tcPr/>
          <w:p>
            <w:pPr>
              <w:pStyle w:val="Compact"/>
              <w:jc w:val="left"/>
            </w:pPr>
            <w:r>
              <w:t xml:space="preserve">-</w:t>
            </w:r>
          </w:p>
        </w:tc>
        <w:tc>
          <w:tcPr/>
          <w:p>
            <w:pPr>
              <w:pStyle w:val="Compact"/>
              <w:jc w:val="left"/>
            </w:pPr>
            <w:r>
              <w:t xml:space="preserve">last Tue</w:t>
            </w:r>
          </w:p>
        </w:tc>
        <w:tc>
          <w:tcPr/>
          <w:p>
            <w:pPr>
              <w:pStyle w:val="Compact"/>
              <w:jc w:val="left"/>
            </w:pPr>
            <w:r>
              <w:t xml:space="preserve">monthly moved to last Tuesday</w:t>
            </w:r>
          </w:p>
        </w:tc>
      </w:tr>
      <w:tr>
        <w:tc>
          <w:tcPr/>
          <w:p>
            <w:pPr>
              <w:pStyle w:val="Compact"/>
              <w:jc w:val="left"/>
            </w:pPr>
            <w:r>
              <w:t xml:space="preserve">BANKEX</w:t>
            </w:r>
          </w:p>
        </w:tc>
        <w:tc>
          <w:tcPr/>
          <w:p>
            <w:pPr>
              <w:pStyle w:val="Compact"/>
              <w:jc w:val="left"/>
            </w:pPr>
            <w:r>
              <w:t xml:space="preserve">2023-05-15</w:t>
            </w:r>
          </w:p>
        </w:tc>
        <w:tc>
          <w:tcPr/>
          <w:p>
            <w:pPr>
              <w:pStyle w:val="Compact"/>
              <w:jc w:val="left"/>
            </w:pPr>
            <w:r>
              <w:t xml:space="preserve">Fri</w:t>
            </w:r>
          </w:p>
        </w:tc>
        <w:tc>
          <w:tcPr/>
          <w:p>
            <w:pPr>
              <w:pStyle w:val="Compact"/>
              <w:jc w:val="left"/>
            </w:pPr>
            <w:r>
              <w:t xml:space="preserve">last Fri</w:t>
            </w:r>
          </w:p>
        </w:tc>
        <w:tc>
          <w:tcPr/>
          <w:p>
            <w:pPr>
              <w:pStyle w:val="Compact"/>
              <w:jc w:val="left"/>
            </w:pPr>
            <w:r>
              <w:t xml:space="preserve">relaunched 15 May 2023 with Friday expiry</w:t>
            </w:r>
          </w:p>
        </w:tc>
      </w:tr>
      <w:tr>
        <w:tc>
          <w:tcPr/>
          <w:p>
            <w:pPr>
              <w:pStyle w:val="Compact"/>
              <w:jc w:val="left"/>
            </w:pPr>
            <w:r>
              <w:t xml:space="preserve">BANKEX</w:t>
            </w:r>
          </w:p>
        </w:tc>
        <w:tc>
          <w:tcPr/>
          <w:p>
            <w:pPr>
              <w:pStyle w:val="Compact"/>
              <w:jc w:val="left"/>
            </w:pPr>
            <w:r>
              <w:t xml:space="preserve">2023-10-16</w:t>
            </w:r>
          </w:p>
        </w:tc>
        <w:tc>
          <w:tcPr/>
          <w:p>
            <w:pPr>
              <w:pStyle w:val="Compact"/>
              <w:jc w:val="left"/>
            </w:pPr>
            <w:r>
              <w:t xml:space="preserve">Mon</w:t>
            </w:r>
          </w:p>
        </w:tc>
        <w:tc>
          <w:tcPr/>
          <w:p>
            <w:pPr>
              <w:pStyle w:val="Compact"/>
              <w:jc w:val="left"/>
            </w:pPr>
            <w:r>
              <w:t xml:space="preserve">last Mon</w:t>
            </w:r>
          </w:p>
        </w:tc>
        <w:tc>
          <w:tcPr/>
          <w:p>
            <w:pPr>
              <w:pStyle w:val="Compact"/>
              <w:jc w:val="left"/>
            </w:pPr>
            <w:r>
              <w:t xml:space="preserve">moved to Monday from 16 Oct 2023</w:t>
            </w:r>
          </w:p>
        </w:tc>
      </w:tr>
      <w:tr>
        <w:tc>
          <w:tcPr/>
          <w:p>
            <w:pPr>
              <w:pStyle w:val="Compact"/>
              <w:jc w:val="left"/>
            </w:pPr>
            <w:r>
              <w:t xml:space="preserve">BANKEX</w:t>
            </w:r>
          </w:p>
        </w:tc>
        <w:tc>
          <w:tcPr/>
          <w:p>
            <w:pPr>
              <w:pStyle w:val="Compact"/>
              <w:jc w:val="left"/>
            </w:pPr>
            <w:r>
              <w:t xml:space="preserve">2024-11-19</w:t>
            </w:r>
          </w:p>
        </w:tc>
        <w:tc>
          <w:tcPr/>
          <w:p>
            <w:pPr>
              <w:pStyle w:val="Compact"/>
              <w:jc w:val="left"/>
            </w:pPr>
            <w:r>
              <w:t xml:space="preserve">-</w:t>
            </w:r>
          </w:p>
        </w:tc>
        <w:tc>
          <w:tcPr/>
          <w:p>
            <w:pPr>
              <w:pStyle w:val="Compact"/>
              <w:jc w:val="left"/>
            </w:pPr>
            <w:r>
              <w:t xml:space="preserve">last Mon</w:t>
            </w:r>
          </w:p>
        </w:tc>
        <w:tc>
          <w:tcPr/>
          <w:p>
            <w:pPr>
              <w:pStyle w:val="Compact"/>
              <w:jc w:val="left"/>
            </w:pPr>
            <w:r>
              <w:t xml:space="preserve">weekly contracts discontinued (last weekly 18 Nov 2024)</w:t>
            </w:r>
          </w:p>
        </w:tc>
      </w:tr>
      <w:tr>
        <w:tc>
          <w:tcPr/>
          <w:p>
            <w:pPr>
              <w:pStyle w:val="Compact"/>
              <w:jc w:val="left"/>
            </w:pPr>
            <w:r>
              <w:t xml:space="preserve">BANKEX</w:t>
            </w:r>
          </w:p>
        </w:tc>
        <w:tc>
          <w:tcPr/>
          <w:p>
            <w:pPr>
              <w:pStyle w:val="Compact"/>
              <w:jc w:val="left"/>
            </w:pPr>
            <w:r>
              <w:t xml:space="preserve">2025-01-01</w:t>
            </w:r>
          </w:p>
        </w:tc>
        <w:tc>
          <w:tcPr/>
          <w:p>
            <w:pPr>
              <w:pStyle w:val="Compact"/>
              <w:jc w:val="left"/>
            </w:pPr>
            <w:r>
              <w:t xml:space="preserve">-</w:t>
            </w:r>
          </w:p>
        </w:tc>
        <w:tc>
          <w:tcPr/>
          <w:p>
            <w:pPr>
              <w:pStyle w:val="Compact"/>
              <w:jc w:val="left"/>
            </w:pPr>
            <w:r>
              <w:t xml:space="preserve">last Tue</w:t>
            </w:r>
          </w:p>
        </w:tc>
        <w:tc>
          <w:tcPr/>
          <w:p>
            <w:pPr>
              <w:pStyle w:val="Compact"/>
              <w:jc w:val="left"/>
            </w:pPr>
            <w:r>
              <w:t xml:space="preserve">monthly moved to last Tuesday</w:t>
            </w:r>
          </w:p>
        </w:tc>
      </w:tr>
      <w:tr>
        <w:tc>
          <w:tcPr/>
          <w:p>
            <w:pPr>
              <w:pStyle w:val="Compact"/>
              <w:jc w:val="left"/>
            </w:pPr>
            <w:r>
              <w:t xml:space="preserve">BANKEX</w:t>
            </w:r>
          </w:p>
        </w:tc>
        <w:tc>
          <w:tcPr/>
          <w:p>
            <w:pPr>
              <w:pStyle w:val="Compact"/>
              <w:jc w:val="left"/>
            </w:pPr>
            <w:r>
              <w:t xml:space="preserve">2025-09-01</w:t>
            </w:r>
          </w:p>
        </w:tc>
        <w:tc>
          <w:tcPr/>
          <w:p>
            <w:pPr>
              <w:pStyle w:val="Compact"/>
              <w:jc w:val="left"/>
            </w:pPr>
            <w:r>
              <w:t xml:space="preserve">-</w:t>
            </w:r>
          </w:p>
        </w:tc>
        <w:tc>
          <w:tcPr/>
          <w:p>
            <w:pPr>
              <w:pStyle w:val="Compact"/>
              <w:jc w:val="left"/>
            </w:pPr>
            <w:r>
              <w:t xml:space="preserve">last Thu</w:t>
            </w:r>
          </w:p>
        </w:tc>
        <w:tc>
          <w:tcPr/>
          <w:p>
            <w:pPr>
              <w:pStyle w:val="Compact"/>
              <w:jc w:val="left"/>
            </w:pPr>
            <w:r>
              <w:t xml:space="preserve">monthly moved to last Thursday</w:t>
            </w:r>
          </w:p>
        </w:tc>
      </w:tr>
    </w:tbl>
    <w:p>
      <w:pPr>
        <w:pStyle w:val="BodyText"/>
      </w:pPr>
      <w:r>
        <w:rPr>
          <w:iCs/>
          <w:i/>
        </w:rPr>
        <w:t xml:space="preserve">Note.</w:t>
      </w:r>
      <w:r>
        <w:t xml:space="preserve"> </w:t>
      </w:r>
      <w:r>
        <w:t xml:space="preserve">NIFTY, BANKNIFTY, FINNIFTY (Nifty Financial Services) and MIDCPNIFTY (Nifty Midcap Select) trade on NSE; SENSEX and BANKEX on BSE. Each rule applies from its start date until the next rule of the same product. If the scheduled day is a holiday, contracts expire on the previous trading day. In the week of a monthly expiry, no separate weekly contract is listed.</w:t>
      </w:r>
    </w:p>
    <w:bookmarkEnd w:id="20"/>
    <w:bookmarkStart w:id="21" w:name="X452163991aa924075c50678f329a6df9a81973d"/>
    <w:p>
      <w:pPr>
        <w:pStyle w:val="Heading1"/>
      </w:pPr>
      <w:r>
        <w:t xml:space="preserve">S2. Alternative whole-session volatility measures</w:t>
      </w:r>
    </w:p>
    <w:p>
      <w:pPr>
        <w:pStyle w:val="FirstParagraph"/>
      </w:pPr>
      <w:r>
        <w:rPr>
          <w:bCs/>
          <w:b/>
        </w:rPr>
        <w:t xml:space="preserve">Table S2.</w:t>
      </w:r>
      <w:r>
        <w:t xml:space="preserve"> </w:t>
      </w:r>
      <w:r>
        <w:t xml:space="preserve">Pooled estimates of equation (1) for alternative outcomes (daily data, 2014–2026)</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pPr>
          </w:p>
        </w:tc>
        <w:tc>
          <w:tcPr/>
          <w:p>
            <w:pPr>
              <w:pStyle w:val="Compact"/>
              <w:jc w:val="right"/>
            </w:pPr>
            <w:r>
              <w:t xml:space="preserve">Garman-Klass</w:t>
            </w:r>
          </w:p>
        </w:tc>
        <w:tc>
          <w:tcPr/>
          <w:p>
            <w:pPr>
              <w:pStyle w:val="Compact"/>
              <w:jc w:val="right"/>
            </w:pPr>
            <w:r>
              <w:t xml:space="preserve">Parkinson</w:t>
            </w:r>
          </w:p>
        </w:tc>
        <w:tc>
          <w:tcPr/>
          <w:p>
            <w:pPr>
              <w:pStyle w:val="Compact"/>
              <w:jc w:val="right"/>
            </w:pPr>
            <w:r>
              <w:t xml:space="preserve">Rogers-Satchell</w:t>
            </w:r>
          </w:p>
        </w:tc>
        <w:tc>
          <w:tcPr/>
          <w:p>
            <w:pPr>
              <w:pStyle w:val="Compact"/>
              <w:jc w:val="right"/>
            </w:pPr>
            <w:r>
              <w:t xml:space="preserve">open-to-close return</w:t>
            </w:r>
          </w:p>
        </w:tc>
        <w:tc>
          <w:tcPr/>
          <w:p>
            <w:pPr>
              <w:pStyle w:val="Compact"/>
              <w:jc w:val="right"/>
            </w:pPr>
            <w:r>
              <w:t xml:space="preserve">close-to-close (incl. overnight)</w:t>
            </w:r>
          </w:p>
        </w:tc>
        <w:tc>
          <w:tcPr/>
          <w:p>
            <w:pPr>
              <w:pStyle w:val="Compact"/>
              <w:jc w:val="right"/>
            </w:pPr>
            <w:r>
              <w:t xml:space="preserve">overnight gap</w:t>
            </w:r>
          </w:p>
        </w:tc>
      </w:tr>
      <w:tr>
        <w:tc>
          <w:tcPr/>
          <w:p>
            <w:pPr>
              <w:pStyle w:val="Compact"/>
              <w:jc w:val="left"/>
            </w:pPr>
            <w:r>
              <w:t xml:space="preserve">Own weekly expiry</w:t>
            </w:r>
          </w:p>
        </w:tc>
        <w:tc>
          <w:tcPr/>
          <w:p>
            <w:pPr>
              <w:pStyle w:val="Compact"/>
              <w:jc w:val="right"/>
            </w:pPr>
            <w:r>
              <w:t xml:space="preserve">−0.024</w:t>
            </w:r>
          </w:p>
        </w:tc>
        <w:tc>
          <w:tcPr/>
          <w:p>
            <w:pPr>
              <w:pStyle w:val="Compact"/>
              <w:jc w:val="right"/>
            </w:pPr>
            <w:r>
              <w:t xml:space="preserve">−0.007</w:t>
            </w:r>
          </w:p>
        </w:tc>
        <w:tc>
          <w:tcPr/>
          <w:p>
            <w:pPr>
              <w:pStyle w:val="Compact"/>
              <w:jc w:val="right"/>
            </w:pPr>
            <w:r>
              <w:t xml:space="preserve">−0.042</w:t>
            </w:r>
          </w:p>
        </w:tc>
        <w:tc>
          <w:tcPr/>
          <w:p>
            <w:pPr>
              <w:pStyle w:val="Compact"/>
              <w:jc w:val="right"/>
            </w:pPr>
            <w:r>
              <w:t xml:space="preserve">0.161*</w:t>
            </w:r>
          </w:p>
        </w:tc>
        <w:tc>
          <w:tcPr/>
          <w:p>
            <w:pPr>
              <w:pStyle w:val="Compact"/>
              <w:jc w:val="right"/>
            </w:pPr>
            <w:r>
              <w:t xml:space="preserve">−0.007</w:t>
            </w:r>
          </w:p>
        </w:tc>
        <w:tc>
          <w:tcPr/>
          <w:p>
            <w:pPr>
              <w:pStyle w:val="Compact"/>
              <w:jc w:val="right"/>
            </w:pPr>
            <w:r>
              <w:t xml:space="preserve">0.051</w:t>
            </w:r>
          </w:p>
        </w:tc>
      </w:tr>
      <w:tr>
        <w:tc>
          <w:tcPr/>
          <w:p>
            <w:pPr>
              <w:pStyle w:val="Compact"/>
            </w:pPr>
          </w:p>
        </w:tc>
        <w:tc>
          <w:tcPr/>
          <w:p>
            <w:pPr>
              <w:pStyle w:val="Compact"/>
              <w:jc w:val="right"/>
            </w:pPr>
            <w:r>
              <w:t xml:space="preserve">(0.032)</w:t>
            </w:r>
          </w:p>
        </w:tc>
        <w:tc>
          <w:tcPr/>
          <w:p>
            <w:pPr>
              <w:pStyle w:val="Compact"/>
              <w:jc w:val="right"/>
            </w:pPr>
            <w:r>
              <w:t xml:space="preserve">(0.036)</w:t>
            </w:r>
          </w:p>
        </w:tc>
        <w:tc>
          <w:tcPr/>
          <w:p>
            <w:pPr>
              <w:pStyle w:val="Compact"/>
              <w:jc w:val="right"/>
            </w:pPr>
            <w:r>
              <w:t xml:space="preserve">(0.033)</w:t>
            </w:r>
          </w:p>
        </w:tc>
        <w:tc>
          <w:tcPr/>
          <w:p>
            <w:pPr>
              <w:pStyle w:val="Compact"/>
              <w:jc w:val="right"/>
            </w:pPr>
            <w:r>
              <w:t xml:space="preserve">(0.086)</w:t>
            </w:r>
          </w:p>
        </w:tc>
        <w:tc>
          <w:tcPr/>
          <w:p>
            <w:pPr>
              <w:pStyle w:val="Compact"/>
              <w:jc w:val="right"/>
            </w:pPr>
            <w:r>
              <w:t xml:space="preserve">(0.032)</w:t>
            </w:r>
          </w:p>
        </w:tc>
        <w:tc>
          <w:tcPr/>
          <w:p>
            <w:pPr>
              <w:pStyle w:val="Compact"/>
              <w:jc w:val="right"/>
            </w:pPr>
            <w:r>
              <w:t xml:space="preserve">(0.076)</w:t>
            </w:r>
          </w:p>
        </w:tc>
      </w:tr>
      <w:tr>
        <w:tc>
          <w:tcPr/>
          <w:p>
            <w:pPr>
              <w:pStyle w:val="Compact"/>
              <w:jc w:val="left"/>
            </w:pPr>
            <w:r>
              <w:t xml:space="preserve">Own monthly expiry</w:t>
            </w:r>
          </w:p>
        </w:tc>
        <w:tc>
          <w:tcPr/>
          <w:p>
            <w:pPr>
              <w:pStyle w:val="Compact"/>
              <w:jc w:val="right"/>
            </w:pPr>
            <w:r>
              <w:t xml:space="preserve">0.055</w:t>
            </w:r>
          </w:p>
        </w:tc>
        <w:tc>
          <w:tcPr/>
          <w:p>
            <w:pPr>
              <w:pStyle w:val="Compact"/>
              <w:jc w:val="right"/>
            </w:pPr>
            <w:r>
              <w:t xml:space="preserve">0.048</w:t>
            </w:r>
          </w:p>
        </w:tc>
        <w:tc>
          <w:tcPr/>
          <w:p>
            <w:pPr>
              <w:pStyle w:val="Compact"/>
              <w:jc w:val="right"/>
            </w:pPr>
            <w:r>
              <w:t xml:space="preserve">0.058</w:t>
            </w:r>
          </w:p>
        </w:tc>
        <w:tc>
          <w:tcPr/>
          <w:p>
            <w:pPr>
              <w:pStyle w:val="Compact"/>
              <w:jc w:val="right"/>
            </w:pPr>
            <w:r>
              <w:t xml:space="preserve">0.103</w:t>
            </w:r>
          </w:p>
        </w:tc>
        <w:tc>
          <w:tcPr/>
          <w:p>
            <w:pPr>
              <w:pStyle w:val="Compact"/>
              <w:jc w:val="right"/>
            </w:pPr>
            <w:r>
              <w:t xml:space="preserve">−0.007</w:t>
            </w:r>
          </w:p>
        </w:tc>
        <w:tc>
          <w:tcPr/>
          <w:p>
            <w:pPr>
              <w:pStyle w:val="Compact"/>
              <w:jc w:val="right"/>
            </w:pPr>
            <w:r>
              <w:t xml:space="preserve">−0.299**</w:t>
            </w:r>
          </w:p>
        </w:tc>
      </w:tr>
      <w:tr>
        <w:tc>
          <w:tcPr/>
          <w:p>
            <w:pPr>
              <w:pStyle w:val="Compact"/>
            </w:pPr>
          </w:p>
        </w:tc>
        <w:tc>
          <w:tcPr/>
          <w:p>
            <w:pPr>
              <w:pStyle w:val="Compact"/>
              <w:jc w:val="right"/>
            </w:pPr>
            <w:r>
              <w:t xml:space="preserve">(0.049)</w:t>
            </w:r>
          </w:p>
        </w:tc>
        <w:tc>
          <w:tcPr/>
          <w:p>
            <w:pPr>
              <w:pStyle w:val="Compact"/>
              <w:jc w:val="right"/>
            </w:pPr>
            <w:r>
              <w:t xml:space="preserve">(0.053)</w:t>
            </w:r>
          </w:p>
        </w:tc>
        <w:tc>
          <w:tcPr/>
          <w:p>
            <w:pPr>
              <w:pStyle w:val="Compact"/>
              <w:jc w:val="right"/>
            </w:pPr>
            <w:r>
              <w:t xml:space="preserve">(0.052)</w:t>
            </w:r>
          </w:p>
        </w:tc>
        <w:tc>
          <w:tcPr/>
          <w:p>
            <w:pPr>
              <w:pStyle w:val="Compact"/>
              <w:jc w:val="right"/>
            </w:pPr>
            <w:r>
              <w:t xml:space="preserve">(0.116)</w:t>
            </w:r>
          </w:p>
        </w:tc>
        <w:tc>
          <w:tcPr/>
          <w:p>
            <w:pPr>
              <w:pStyle w:val="Compact"/>
              <w:jc w:val="right"/>
            </w:pPr>
            <w:r>
              <w:t xml:space="preserve">(0.050)</w:t>
            </w:r>
          </w:p>
        </w:tc>
        <w:tc>
          <w:tcPr/>
          <w:p>
            <w:pPr>
              <w:pStyle w:val="Compact"/>
              <w:jc w:val="right"/>
            </w:pPr>
            <w:r>
              <w:t xml:space="preserve">(0.121)</w:t>
            </w:r>
          </w:p>
        </w:tc>
      </w:tr>
      <w:tr>
        <w:tc>
          <w:tcPr/>
          <w:p>
            <w:pPr>
              <w:pStyle w:val="Compact"/>
              <w:jc w:val="left"/>
            </w:pPr>
            <w:r>
              <w:t xml:space="preserve">Another large index expires</w:t>
            </w:r>
          </w:p>
        </w:tc>
        <w:tc>
          <w:tcPr/>
          <w:p>
            <w:pPr>
              <w:pStyle w:val="Compact"/>
              <w:jc w:val="right"/>
            </w:pPr>
            <w:r>
              <w:t xml:space="preserve">−0.062*</w:t>
            </w:r>
          </w:p>
        </w:tc>
        <w:tc>
          <w:tcPr/>
          <w:p>
            <w:pPr>
              <w:pStyle w:val="Compact"/>
              <w:jc w:val="right"/>
            </w:pPr>
            <w:r>
              <w:t xml:space="preserve">−0.049</w:t>
            </w:r>
          </w:p>
        </w:tc>
        <w:tc>
          <w:tcPr/>
          <w:p>
            <w:pPr>
              <w:pStyle w:val="Compact"/>
              <w:jc w:val="right"/>
            </w:pPr>
            <w:r>
              <w:t xml:space="preserve">−0.074**</w:t>
            </w:r>
          </w:p>
        </w:tc>
        <w:tc>
          <w:tcPr/>
          <w:p>
            <w:pPr>
              <w:pStyle w:val="Compact"/>
              <w:jc w:val="right"/>
            </w:pPr>
            <w:r>
              <w:t xml:space="preserve">0.015</w:t>
            </w:r>
          </w:p>
        </w:tc>
        <w:tc>
          <w:tcPr/>
          <w:p>
            <w:pPr>
              <w:pStyle w:val="Compact"/>
              <w:jc w:val="right"/>
            </w:pPr>
            <w:r>
              <w:t xml:space="preserve">−0.065*</w:t>
            </w:r>
          </w:p>
        </w:tc>
        <w:tc>
          <w:tcPr/>
          <w:p>
            <w:pPr>
              <w:pStyle w:val="Compact"/>
              <w:jc w:val="right"/>
            </w:pPr>
            <w:r>
              <w:t xml:space="preserve">−0.033</w:t>
            </w:r>
          </w:p>
        </w:tc>
      </w:tr>
      <w:tr>
        <w:tc>
          <w:tcPr/>
          <w:p>
            <w:pPr>
              <w:pStyle w:val="Compact"/>
            </w:pPr>
          </w:p>
        </w:tc>
        <w:tc>
          <w:tcPr/>
          <w:p>
            <w:pPr>
              <w:pStyle w:val="Compact"/>
              <w:jc w:val="right"/>
            </w:pPr>
            <w:r>
              <w:t xml:space="preserve">(0.034)</w:t>
            </w:r>
          </w:p>
        </w:tc>
        <w:tc>
          <w:tcPr/>
          <w:p>
            <w:pPr>
              <w:pStyle w:val="Compact"/>
              <w:jc w:val="right"/>
            </w:pPr>
            <w:r>
              <w:t xml:space="preserve">(0.038)</w:t>
            </w:r>
          </w:p>
        </w:tc>
        <w:tc>
          <w:tcPr/>
          <w:p>
            <w:pPr>
              <w:pStyle w:val="Compact"/>
              <w:jc w:val="right"/>
            </w:pPr>
            <w:r>
              <w:t xml:space="preserve">(0.037)</w:t>
            </w:r>
          </w:p>
        </w:tc>
        <w:tc>
          <w:tcPr/>
          <w:p>
            <w:pPr>
              <w:pStyle w:val="Compact"/>
              <w:jc w:val="right"/>
            </w:pPr>
            <w:r>
              <w:t xml:space="preserve">(0.084)</w:t>
            </w:r>
          </w:p>
        </w:tc>
        <w:tc>
          <w:tcPr/>
          <w:p>
            <w:pPr>
              <w:pStyle w:val="Compact"/>
              <w:jc w:val="right"/>
            </w:pPr>
            <w:r>
              <w:t xml:space="preserve">(0.037)</w:t>
            </w:r>
          </w:p>
        </w:tc>
        <w:tc>
          <w:tcPr/>
          <w:p>
            <w:pPr>
              <w:pStyle w:val="Compact"/>
              <w:jc w:val="right"/>
            </w:pPr>
            <w:r>
              <w:t xml:space="preserve">(0.082)</w:t>
            </w:r>
          </w:p>
        </w:tc>
      </w:tr>
      <w:tr>
        <w:tc>
          <w:tcPr/>
          <w:p>
            <w:pPr>
              <w:pStyle w:val="Compact"/>
              <w:jc w:val="left"/>
            </w:pPr>
            <w:r>
              <w:t xml:space="preserve">Small index expires</w:t>
            </w:r>
          </w:p>
        </w:tc>
        <w:tc>
          <w:tcPr/>
          <w:p>
            <w:pPr>
              <w:pStyle w:val="Compact"/>
              <w:jc w:val="right"/>
            </w:pPr>
            <w:r>
              <w:t xml:space="preserve">−0.094*</w:t>
            </w:r>
          </w:p>
        </w:tc>
        <w:tc>
          <w:tcPr/>
          <w:p>
            <w:pPr>
              <w:pStyle w:val="Compact"/>
              <w:jc w:val="right"/>
            </w:pPr>
            <w:r>
              <w:t xml:space="preserve">−0.120**</w:t>
            </w:r>
          </w:p>
        </w:tc>
        <w:tc>
          <w:tcPr/>
          <w:p>
            <w:pPr>
              <w:pStyle w:val="Compact"/>
              <w:jc w:val="right"/>
            </w:pPr>
            <w:r>
              <w:t xml:space="preserve">−0.073</w:t>
            </w:r>
          </w:p>
        </w:tc>
        <w:tc>
          <w:tcPr/>
          <w:p>
            <w:pPr>
              <w:pStyle w:val="Compact"/>
              <w:jc w:val="right"/>
            </w:pPr>
            <w:r>
              <w:t xml:space="preserve">−0.251**</w:t>
            </w:r>
          </w:p>
        </w:tc>
        <w:tc>
          <w:tcPr/>
          <w:p>
            <w:pPr>
              <w:pStyle w:val="Compact"/>
              <w:jc w:val="right"/>
            </w:pPr>
            <w:r>
              <w:t xml:space="preserve">−0.086*</w:t>
            </w:r>
          </w:p>
        </w:tc>
        <w:tc>
          <w:tcPr/>
          <w:p>
            <w:pPr>
              <w:pStyle w:val="Compact"/>
              <w:jc w:val="right"/>
            </w:pPr>
            <w:r>
              <w:t xml:space="preserve">0.052</w:t>
            </w:r>
          </w:p>
        </w:tc>
      </w:tr>
      <w:tr>
        <w:tc>
          <w:tcPr/>
          <w:p>
            <w:pPr>
              <w:pStyle w:val="Compact"/>
            </w:pPr>
          </w:p>
        </w:tc>
        <w:tc>
          <w:tcPr/>
          <w:p>
            <w:pPr>
              <w:pStyle w:val="Compact"/>
              <w:jc w:val="right"/>
            </w:pPr>
            <w:r>
              <w:t xml:space="preserve">(0.048)</w:t>
            </w:r>
          </w:p>
        </w:tc>
        <w:tc>
          <w:tcPr/>
          <w:p>
            <w:pPr>
              <w:pStyle w:val="Compact"/>
              <w:jc w:val="right"/>
            </w:pPr>
            <w:r>
              <w:t xml:space="preserve">(0.053)</w:t>
            </w:r>
          </w:p>
        </w:tc>
        <w:tc>
          <w:tcPr/>
          <w:p>
            <w:pPr>
              <w:pStyle w:val="Compact"/>
              <w:jc w:val="right"/>
            </w:pPr>
            <w:r>
              <w:t xml:space="preserve">(0.050)</w:t>
            </w:r>
          </w:p>
        </w:tc>
        <w:tc>
          <w:tcPr/>
          <w:p>
            <w:pPr>
              <w:pStyle w:val="Compact"/>
              <w:jc w:val="right"/>
            </w:pPr>
            <w:r>
              <w:t xml:space="preserve">(0.110)</w:t>
            </w:r>
          </w:p>
        </w:tc>
        <w:tc>
          <w:tcPr/>
          <w:p>
            <w:pPr>
              <w:pStyle w:val="Compact"/>
              <w:jc w:val="right"/>
            </w:pPr>
            <w:r>
              <w:t xml:space="preserve">(0.048)</w:t>
            </w:r>
          </w:p>
        </w:tc>
        <w:tc>
          <w:tcPr/>
          <w:p>
            <w:pPr>
              <w:pStyle w:val="Compact"/>
              <w:jc w:val="right"/>
            </w:pPr>
            <w:r>
              <w:t xml:space="preserve">(0.106)</w:t>
            </w:r>
          </w:p>
        </w:tc>
      </w:tr>
    </w:tbl>
    <w:p>
      <w:pPr>
        <w:pStyle w:val="BodyText"/>
      </w:pPr>
      <w:r>
        <w:rPr>
          <w:iCs/>
          <w:i/>
        </w:rPr>
        <w:t xml:space="preserve">Note.</w:t>
      </w:r>
      <w:r>
        <w:t xml:space="preserve"> </w:t>
      </w:r>
      <w:r>
        <w:t xml:space="preserve">Parkinson and Rogers–Satchell are range-based variance estimators</w:t>
      </w:r>
      <w:r>
        <w:t xml:space="preserve"> </w:t>
      </w:r>
      <w:r>
        <w:t xml:space="preserve">(Parkinson, 1980; Rogers &amp; Satchell, 1991)</w:t>
      </w:r>
      <w:r>
        <w:t xml:space="preserve">; open-to-close is the squared session return; close-to-close adds the squared overnight gap; overnight gap is the squared return from the previous close to the open.</w:t>
      </w:r>
    </w:p>
    <w:bookmarkEnd w:id="21"/>
    <w:bookmarkStart w:id="22" w:name="s3.-pinning"/>
    <w:p>
      <w:pPr>
        <w:pStyle w:val="Heading1"/>
      </w:pPr>
      <w:r>
        <w:t xml:space="preserve">S3. Pinning</w:t>
      </w:r>
    </w:p>
    <w:p>
      <w:pPr>
        <w:pStyle w:val="FirstParagraph"/>
      </w:pPr>
      <w:r>
        <w:rPr>
          <w:bCs/>
          <w:b/>
        </w:rPr>
        <w:t xml:space="preserve">Table S3.</w:t>
      </w:r>
      <w:r>
        <w:t xml:space="preserve"> </w:t>
      </w:r>
      <w:r>
        <w:t xml:space="preserve">Closing values near strikes, and moves toward the largest open-interest strike</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Index</w:t>
            </w:r>
          </w:p>
        </w:tc>
        <w:tc>
          <w:tcPr/>
          <w:p>
            <w:pPr>
              <w:pStyle w:val="Compact"/>
              <w:jc w:val="right"/>
            </w:pPr>
            <w:r>
              <w:t xml:space="preserve">Strike step</w:t>
            </w:r>
          </w:p>
        </w:tc>
        <w:tc>
          <w:tcPr/>
          <w:p>
            <w:pPr>
              <w:pStyle w:val="Compact"/>
              <w:jc w:val="right"/>
            </w:pPr>
            <w:r>
              <w:t xml:space="preserve">Share near a strike: expiry days</w:t>
            </w:r>
          </w:p>
        </w:tc>
        <w:tc>
          <w:tcPr/>
          <w:p>
            <w:pPr>
              <w:pStyle w:val="Compact"/>
              <w:jc w:val="right"/>
            </w:pPr>
            <w:r>
              <w:t xml:space="preserve">Other days</w:t>
            </w:r>
          </w:p>
        </w:tc>
        <w:tc>
          <w:tcPr/>
          <w:p>
            <w:pPr>
              <w:pStyle w:val="Compact"/>
              <w:jc w:val="right"/>
            </w:pPr>
            <w:r>
              <w:t xml:space="preserve">Weekly expiry coefficient</w:t>
            </w:r>
          </w:p>
        </w:tc>
        <w:tc>
          <w:tcPr/>
          <w:p>
            <w:pPr>
              <w:pStyle w:val="Compact"/>
              <w:jc w:val="right"/>
            </w:pPr>
            <w:r>
              <w:t xml:space="preserve">Monthly expiry coefficient</w:t>
            </w:r>
          </w:p>
        </w:tc>
      </w:tr>
      <w:tr>
        <w:tc>
          <w:tcPr/>
          <w:p>
            <w:pPr>
              <w:pStyle w:val="Compact"/>
              <w:jc w:val="left"/>
            </w:pPr>
            <w:r>
              <w:t xml:space="preserve">Nifty 50</w:t>
            </w:r>
          </w:p>
        </w:tc>
        <w:tc>
          <w:tcPr/>
          <w:p>
            <w:pPr>
              <w:pStyle w:val="Compact"/>
              <w:jc w:val="right"/>
            </w:pPr>
            <w:r>
              <w:t xml:space="preserve">50</w:t>
            </w:r>
          </w:p>
        </w:tc>
        <w:tc>
          <w:tcPr/>
          <w:p>
            <w:pPr>
              <w:pStyle w:val="Compact"/>
              <w:jc w:val="right"/>
            </w:pPr>
            <w:r>
              <w:t xml:space="preserve">0.208</w:t>
            </w:r>
          </w:p>
        </w:tc>
        <w:tc>
          <w:tcPr/>
          <w:p>
            <w:pPr>
              <w:pStyle w:val="Compact"/>
              <w:jc w:val="right"/>
            </w:pPr>
            <w:r>
              <w:t xml:space="preserve">0.195</w:t>
            </w:r>
          </w:p>
        </w:tc>
        <w:tc>
          <w:tcPr/>
          <w:p>
            <w:pPr>
              <w:pStyle w:val="Compact"/>
              <w:jc w:val="right"/>
            </w:pPr>
            <w:r>
              <w:t xml:space="preserve">−0.003</w:t>
            </w:r>
          </w:p>
        </w:tc>
        <w:tc>
          <w:tcPr/>
          <w:p>
            <w:pPr>
              <w:pStyle w:val="Compact"/>
              <w:jc w:val="right"/>
            </w:pPr>
            <w:r>
              <w:t xml:space="preserve">−0.022</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(0.033)</w:t>
            </w:r>
          </w:p>
        </w:tc>
        <w:tc>
          <w:tcPr/>
          <w:p>
            <w:pPr>
              <w:pStyle w:val="Compact"/>
              <w:jc w:val="right"/>
            </w:pPr>
            <w:r>
              <w:t xml:space="preserve">(0.042)</w:t>
            </w:r>
          </w:p>
        </w:tc>
      </w:tr>
      <w:tr>
        <w:tc>
          <w:tcPr/>
          <w:p>
            <w:pPr>
              <w:pStyle w:val="Compact"/>
              <w:jc w:val="left"/>
            </w:pPr>
            <w:r>
              <w:t xml:space="preserve">Nifty 50</w:t>
            </w:r>
          </w:p>
        </w:tc>
        <w:tc>
          <w:tcPr/>
          <w:p>
            <w:pPr>
              <w:pStyle w:val="Compact"/>
              <w:jc w:val="right"/>
            </w:pPr>
            <w:r>
              <w:t xml:space="preserve">100</w:t>
            </w:r>
          </w:p>
        </w:tc>
        <w:tc>
          <w:tcPr/>
          <w:p>
            <w:pPr>
              <w:pStyle w:val="Compact"/>
              <w:jc w:val="right"/>
            </w:pPr>
            <w:r>
              <w:t xml:space="preserve">0.211</w:t>
            </w:r>
          </w:p>
        </w:tc>
        <w:tc>
          <w:tcPr/>
          <w:p>
            <w:pPr>
              <w:pStyle w:val="Compact"/>
              <w:jc w:val="right"/>
            </w:pPr>
            <w:r>
              <w:t xml:space="preserve">0.184</w:t>
            </w:r>
          </w:p>
        </w:tc>
        <w:tc>
          <w:tcPr/>
          <w:p>
            <w:pPr>
              <w:pStyle w:val="Compact"/>
              <w:jc w:val="right"/>
            </w:pPr>
            <w:r>
              <w:t xml:space="preserve">0.028</w:t>
            </w:r>
          </w:p>
        </w:tc>
        <w:tc>
          <w:tcPr/>
          <w:p>
            <w:pPr>
              <w:pStyle w:val="Compact"/>
              <w:jc w:val="right"/>
            </w:pPr>
            <w:r>
              <w:t xml:space="preserve">−0.048</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(0.034)</w:t>
            </w:r>
          </w:p>
        </w:tc>
        <w:tc>
          <w:tcPr/>
          <w:p>
            <w:pPr>
              <w:pStyle w:val="Compact"/>
              <w:jc w:val="right"/>
            </w:pPr>
            <w:r>
              <w:t xml:space="preserve">(0.041)</w:t>
            </w:r>
          </w:p>
        </w:tc>
      </w:tr>
      <w:tr>
        <w:tc>
          <w:tcPr/>
          <w:p>
            <w:pPr>
              <w:pStyle w:val="Compact"/>
              <w:jc w:val="left"/>
            </w:pPr>
            <w:r>
              <w:t xml:space="preserve">Bank Nifty</w:t>
            </w:r>
          </w:p>
        </w:tc>
        <w:tc>
          <w:tcPr/>
          <w:p>
            <w:pPr>
              <w:pStyle w:val="Compact"/>
              <w:jc w:val="right"/>
            </w:pPr>
            <w:r>
              <w:t xml:space="preserve">100</w:t>
            </w:r>
          </w:p>
        </w:tc>
        <w:tc>
          <w:tcPr/>
          <w:p>
            <w:pPr>
              <w:pStyle w:val="Compact"/>
              <w:jc w:val="right"/>
            </w:pPr>
            <w:r>
              <w:t xml:space="preserve">0.228</w:t>
            </w:r>
          </w:p>
        </w:tc>
        <w:tc>
          <w:tcPr/>
          <w:p>
            <w:pPr>
              <w:pStyle w:val="Compact"/>
              <w:jc w:val="right"/>
            </w:pPr>
            <w:r>
              <w:t xml:space="preserve">0.199</w:t>
            </w:r>
          </w:p>
        </w:tc>
        <w:tc>
          <w:tcPr/>
          <w:p>
            <w:pPr>
              <w:pStyle w:val="Compact"/>
              <w:jc w:val="right"/>
            </w:pPr>
            <w:r>
              <w:t xml:space="preserve">0.075**</w:t>
            </w:r>
          </w:p>
        </w:tc>
        <w:tc>
          <w:tcPr/>
          <w:p>
            <w:pPr>
              <w:pStyle w:val="Compact"/>
              <w:jc w:val="right"/>
            </w:pPr>
            <w:r>
              <w:t xml:space="preserve">0.107**</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(0.032)</w:t>
            </w:r>
          </w:p>
        </w:tc>
        <w:tc>
          <w:tcPr/>
          <w:p>
            <w:pPr>
              <w:pStyle w:val="Compact"/>
              <w:jc w:val="right"/>
            </w:pPr>
            <w:r>
              <w:t xml:space="preserve">(0.044)</w:t>
            </w:r>
          </w:p>
        </w:tc>
      </w:tr>
      <w:tr>
        <w:tc>
          <w:tcPr/>
          <w:p>
            <w:pPr>
              <w:pStyle w:val="Compact"/>
              <w:jc w:val="left"/>
            </w:pPr>
            <w:r>
              <w:t xml:space="preserve">Bank Nifty</w:t>
            </w:r>
          </w:p>
        </w:tc>
        <w:tc>
          <w:tcPr/>
          <w:p>
            <w:pPr>
              <w:pStyle w:val="Compact"/>
              <w:jc w:val="right"/>
            </w:pPr>
            <w:r>
              <w:t xml:space="preserve">500</w:t>
            </w:r>
          </w:p>
        </w:tc>
        <w:tc>
          <w:tcPr/>
          <w:p>
            <w:pPr>
              <w:pStyle w:val="Compact"/>
              <w:jc w:val="right"/>
            </w:pPr>
            <w:r>
              <w:t xml:space="preserve">0.228</w:t>
            </w:r>
          </w:p>
        </w:tc>
        <w:tc>
          <w:tcPr/>
          <w:p>
            <w:pPr>
              <w:pStyle w:val="Compact"/>
              <w:jc w:val="right"/>
            </w:pPr>
            <w:r>
              <w:t xml:space="preserve">0.185</w:t>
            </w:r>
          </w:p>
        </w:tc>
        <w:tc>
          <w:tcPr/>
          <w:p>
            <w:pPr>
              <w:pStyle w:val="Compact"/>
              <w:jc w:val="right"/>
            </w:pPr>
            <w:r>
              <w:t xml:space="preserve">0.015</w:t>
            </w:r>
          </w:p>
        </w:tc>
        <w:tc>
          <w:tcPr/>
          <w:p>
            <w:pPr>
              <w:pStyle w:val="Compact"/>
              <w:jc w:val="right"/>
            </w:pPr>
            <w:r>
              <w:t xml:space="preserve">0.064</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(0.033)</w:t>
            </w:r>
          </w:p>
        </w:tc>
        <w:tc>
          <w:tcPr/>
          <w:p>
            <w:pPr>
              <w:pStyle w:val="Compact"/>
              <w:jc w:val="right"/>
            </w:pPr>
            <w:r>
              <w:t xml:space="preserve">(0.047)</w:t>
            </w:r>
          </w:p>
        </w:tc>
      </w:tr>
      <w:tr>
        <w:tc>
          <w:tcPr/>
          <w:p>
            <w:pPr>
              <w:pStyle w:val="Compact"/>
              <w:jc w:val="left"/>
            </w:pPr>
            <w:r>
              <w:t xml:space="preserve">Sensex</w:t>
            </w:r>
          </w:p>
        </w:tc>
        <w:tc>
          <w:tcPr/>
          <w:p>
            <w:pPr>
              <w:pStyle w:val="Compact"/>
              <w:jc w:val="right"/>
            </w:pPr>
            <w:r>
              <w:t xml:space="preserve">100</w:t>
            </w:r>
          </w:p>
        </w:tc>
        <w:tc>
          <w:tcPr/>
          <w:p>
            <w:pPr>
              <w:pStyle w:val="Compact"/>
              <w:jc w:val="right"/>
            </w:pPr>
            <w:r>
              <w:t xml:space="preserve">0.244</w:t>
            </w:r>
          </w:p>
        </w:tc>
        <w:tc>
          <w:tcPr/>
          <w:p>
            <w:pPr>
              <w:pStyle w:val="Compact"/>
              <w:jc w:val="right"/>
            </w:pPr>
            <w:r>
              <w:t xml:space="preserve">0.201</w:t>
            </w:r>
          </w:p>
        </w:tc>
        <w:tc>
          <w:tcPr/>
          <w:p>
            <w:pPr>
              <w:pStyle w:val="Compact"/>
              <w:jc w:val="right"/>
            </w:pPr>
            <w:r>
              <w:t xml:space="preserve">0.042</w:t>
            </w:r>
          </w:p>
        </w:tc>
        <w:tc>
          <w:tcPr/>
          <w:p>
            <w:pPr>
              <w:pStyle w:val="Compact"/>
              <w:jc w:val="right"/>
            </w:pPr>
            <w:r>
              <w:t xml:space="preserve">0.038</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(0.047)</w:t>
            </w:r>
          </w:p>
        </w:tc>
        <w:tc>
          <w:tcPr/>
          <w:p>
            <w:pPr>
              <w:pStyle w:val="Compact"/>
              <w:jc w:val="right"/>
            </w:pPr>
            <w:r>
              <w:t xml:space="preserve">(0.080)</w:t>
            </w:r>
          </w:p>
        </w:tc>
      </w:tr>
      <w:tr>
        <w:tc>
          <w:tcPr/>
          <w:p>
            <w:pPr>
              <w:pStyle w:val="Compact"/>
              <w:jc w:val="left"/>
            </w:pPr>
            <w:r>
              <w:t xml:space="preserve">Sensex</w:t>
            </w:r>
          </w:p>
        </w:tc>
        <w:tc>
          <w:tcPr/>
          <w:p>
            <w:pPr>
              <w:pStyle w:val="Compact"/>
              <w:jc w:val="right"/>
            </w:pPr>
            <w:r>
              <w:t xml:space="preserve">500</w:t>
            </w:r>
          </w:p>
        </w:tc>
        <w:tc>
          <w:tcPr/>
          <w:p>
            <w:pPr>
              <w:pStyle w:val="Compact"/>
              <w:jc w:val="right"/>
            </w:pPr>
            <w:r>
              <w:t xml:space="preserve">0.202</w:t>
            </w:r>
          </w:p>
        </w:tc>
        <w:tc>
          <w:tcPr/>
          <w:p>
            <w:pPr>
              <w:pStyle w:val="Compact"/>
              <w:jc w:val="right"/>
            </w:pPr>
            <w:r>
              <w:t xml:space="preserve">0.187</w:t>
            </w:r>
          </w:p>
        </w:tc>
        <w:tc>
          <w:tcPr/>
          <w:p>
            <w:pPr>
              <w:pStyle w:val="Compact"/>
              <w:jc w:val="right"/>
            </w:pPr>
            <w:r>
              <w:t xml:space="preserve">−0.005</w:t>
            </w:r>
          </w:p>
        </w:tc>
        <w:tc>
          <w:tcPr/>
          <w:p>
            <w:pPr>
              <w:pStyle w:val="Compact"/>
              <w:jc w:val="right"/>
            </w:pPr>
            <w:r>
              <w:t xml:space="preserve">−0.111</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(0.043)</w:t>
            </w:r>
          </w:p>
        </w:tc>
        <w:tc>
          <w:tcPr/>
          <w:p>
            <w:pPr>
              <w:pStyle w:val="Compact"/>
              <w:jc w:val="right"/>
            </w:pPr>
            <w:r>
              <w:t xml:space="preserve">(0.071)</w:t>
            </w:r>
          </w:p>
        </w:tc>
      </w:tr>
    </w:tbl>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Index</w:t>
            </w:r>
          </w:p>
        </w:tc>
        <w:tc>
          <w:tcPr/>
          <w:p>
            <w:pPr>
              <w:pStyle w:val="Compact"/>
              <w:jc w:val="right"/>
            </w:pPr>
            <w:r>
              <w:t xml:space="preserve">Expiry days</w:t>
            </w:r>
          </w:p>
        </w:tc>
        <w:tc>
          <w:tcPr/>
          <w:p>
            <w:pPr>
              <w:pStyle w:val="Compact"/>
              <w:jc w:val="right"/>
            </w:pPr>
            <w:r>
              <w:t xml:space="preserve">Mean move, expiry days (%)</w:t>
            </w:r>
          </w:p>
        </w:tc>
        <w:tc>
          <w:tcPr/>
          <w:p>
            <w:pPr>
              <w:pStyle w:val="Compact"/>
              <w:jc w:val="right"/>
            </w:pPr>
            <w:r>
              <w:t xml:space="preserve">Mean move, other days (%)</w:t>
            </w:r>
          </w:p>
        </w:tc>
        <w:tc>
          <w:tcPr/>
          <w:p>
            <w:pPr>
              <w:pStyle w:val="Compact"/>
              <w:jc w:val="right"/>
            </w:pPr>
            <w:r>
              <w:t xml:space="preserve">Difference, controlling for distance at open</w:t>
            </w:r>
          </w:p>
        </w:tc>
      </w:tr>
      <w:tr>
        <w:tc>
          <w:tcPr/>
          <w:p>
            <w:pPr>
              <w:pStyle w:val="Compact"/>
              <w:jc w:val="left"/>
            </w:pPr>
            <w:r>
              <w:t xml:space="preserve">Bank Nifty</w:t>
            </w:r>
          </w:p>
        </w:tc>
        <w:tc>
          <w:tcPr/>
          <w:p>
            <w:pPr>
              <w:pStyle w:val="Compact"/>
              <w:jc w:val="right"/>
            </w:pPr>
            <w:r>
              <w:t xml:space="preserve">486</w:t>
            </w:r>
          </w:p>
        </w:tc>
        <w:tc>
          <w:tcPr/>
          <w:p>
            <w:pPr>
              <w:pStyle w:val="Compact"/>
              <w:jc w:val="right"/>
            </w:pPr>
            <w:r>
              <w:t xml:space="preserve">0.222</w:t>
            </w:r>
          </w:p>
        </w:tc>
        <w:tc>
          <w:tcPr/>
          <w:p>
            <w:pPr>
              <w:pStyle w:val="Compact"/>
              <w:jc w:val="right"/>
            </w:pPr>
            <w:r>
              <w:t xml:space="preserve">0.152</w:t>
            </w:r>
          </w:p>
        </w:tc>
        <w:tc>
          <w:tcPr/>
          <w:p>
            <w:pPr>
              <w:pStyle w:val="Compact"/>
              <w:jc w:val="right"/>
            </w:pPr>
            <w:r>
              <w:t xml:space="preserve">0.098</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(0.066)</w:t>
            </w:r>
          </w:p>
        </w:tc>
      </w:tr>
      <w:tr>
        <w:tc>
          <w:tcPr/>
          <w:p>
            <w:pPr>
              <w:pStyle w:val="Compact"/>
              <w:jc w:val="left"/>
            </w:pPr>
            <w:r>
              <w:t xml:space="preserve">Nifty 50</w:t>
            </w:r>
          </w:p>
        </w:tc>
        <w:tc>
          <w:tcPr/>
          <w:p>
            <w:pPr>
              <w:pStyle w:val="Compact"/>
              <w:jc w:val="right"/>
            </w:pPr>
            <w:r>
              <w:t xml:space="preserve">443</w:t>
            </w:r>
          </w:p>
        </w:tc>
        <w:tc>
          <w:tcPr/>
          <w:p>
            <w:pPr>
              <w:pStyle w:val="Compact"/>
              <w:jc w:val="right"/>
            </w:pPr>
            <w:r>
              <w:t xml:space="preserve">0.201</w:t>
            </w:r>
          </w:p>
        </w:tc>
        <w:tc>
          <w:tcPr/>
          <w:p>
            <w:pPr>
              <w:pStyle w:val="Compact"/>
              <w:jc w:val="right"/>
            </w:pPr>
            <w:r>
              <w:t xml:space="preserve">0.110</w:t>
            </w:r>
          </w:p>
        </w:tc>
        <w:tc>
          <w:tcPr/>
          <w:p>
            <w:pPr>
              <w:pStyle w:val="Compact"/>
              <w:jc w:val="right"/>
            </w:pPr>
            <w:r>
              <w:t xml:space="preserve">0.107**</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(0.052)</w:t>
            </w:r>
          </w:p>
        </w:tc>
      </w:tr>
    </w:tbl>
    <w:p>
      <w:pPr>
        <w:pStyle w:val="BodyText"/>
      </w:pPr>
      <w:r>
        <w:rPr>
          <w:iCs/>
          <w:i/>
        </w:rPr>
        <w:t xml:space="preserve">Note.</w:t>
      </w:r>
      <w:r>
        <w:t xml:space="preserve"> </w:t>
      </w:r>
      <w:r>
        <w:t xml:space="preserve">Top panel: share of official closing values whose distance to the nearest strike (a multiple of the strike step) is less than 10% of the step. Without pinning this share is about 0.20. The coefficients are from linear-probability versions of equation (1) for each index. Bottom panel (Nifty 50 and Bank Nifty, NSE contract files 2014 – June 2026): change during the day in the distance, in percent of the index level, between the index and the strike with the largest open interest (calls plus puts) at the previous close in the nearest-expiry series. Positive values mean the index moved away from that strike. The difference controls for the distance at the open, with weekday and year fixed effects.</w:t>
      </w:r>
    </w:p>
    <w:bookmarkEnd w:id="22"/>
    <w:bookmarkStart w:id="23" w:name="s4.-intraday-reversals"/>
    <w:p>
      <w:pPr>
        <w:pStyle w:val="Heading1"/>
      </w:pPr>
      <w:r>
        <w:t xml:space="preserve">S4. Intraday reversals</w:t>
      </w:r>
    </w:p>
    <w:p>
      <w:pPr>
        <w:pStyle w:val="FirstParagraph"/>
      </w:pPr>
      <w:r>
        <w:rPr>
          <w:bCs/>
          <w:b/>
        </w:rPr>
        <w:t xml:space="preserve">Table S4.</w:t>
      </w:r>
      <w:r>
        <w:t xml:space="preserve"> </w:t>
      </w:r>
      <w:r>
        <w:t xml:space="preserve">Reversal of earlier moves on expiry days (one-minute data)</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Sample</w:t>
            </w:r>
          </w:p>
        </w:tc>
        <w:tc>
          <w:tcPr/>
          <w:p>
            <w:pPr>
              <w:pStyle w:val="Compact"/>
              <w:jc w:val="right"/>
            </w:pPr>
            <w:r>
              <w:t xml:space="preserve">Afternoon on morning × expiry</w:t>
            </w:r>
          </w:p>
        </w:tc>
        <w:tc>
          <w:tcPr/>
          <w:p>
            <w:pPr>
              <w:pStyle w:val="Compact"/>
              <w:jc w:val="right"/>
            </w:pPr>
            <w:r>
              <w:t xml:space="preserve">Last half hour on rest of day × expiry</w:t>
            </w:r>
          </w:p>
        </w:tc>
        <w:tc>
          <w:tcPr/>
          <w:p>
            <w:pPr>
              <w:pStyle w:val="Compact"/>
              <w:jc w:val="right"/>
            </w:pPr>
            <w:r>
              <w:t xml:space="preserve">Days</w:t>
            </w:r>
          </w:p>
        </w:tc>
      </w:tr>
      <w:tr>
        <w:tc>
          <w:tcPr/>
          <w:p>
            <w:pPr>
              <w:pStyle w:val="Compact"/>
              <w:jc w:val="left"/>
            </w:pPr>
            <w:r>
              <w:t xml:space="preserve">All</w:t>
            </w:r>
          </w:p>
        </w:tc>
        <w:tc>
          <w:tcPr/>
          <w:p>
            <w:pPr>
              <w:pStyle w:val="Compact"/>
              <w:jc w:val="right"/>
            </w:pPr>
            <w:r>
              <w:t xml:space="preserve">0.090</w:t>
            </w:r>
          </w:p>
        </w:tc>
        <w:tc>
          <w:tcPr/>
          <w:p>
            <w:pPr>
              <w:pStyle w:val="Compact"/>
              <w:jc w:val="right"/>
            </w:pPr>
            <w:r>
              <w:t xml:space="preserve">0.007</w:t>
            </w:r>
          </w:p>
        </w:tc>
        <w:tc>
          <w:tcPr/>
          <w:p>
            <w:pPr>
              <w:pStyle w:val="Compact"/>
              <w:jc w:val="right"/>
            </w:pPr>
            <w:r>
              <w:t xml:space="preserve">3,428</w:t>
            </w:r>
          </w:p>
        </w:tc>
      </w:tr>
      <w:tr>
        <w:tc>
          <w:tcPr/>
          <w:p>
            <w:pPr>
              <w:pStyle w:val="Compact"/>
            </w:pPr>
          </w:p>
        </w:tc>
        <w:tc>
          <w:tcPr/>
          <w:p>
            <w:pPr>
              <w:pStyle w:val="Compact"/>
              <w:jc w:val="right"/>
            </w:pPr>
            <w:r>
              <w:t xml:space="preserve">(0.078)</w:t>
            </w:r>
          </w:p>
        </w:tc>
        <w:tc>
          <w:tcPr/>
          <w:p>
            <w:pPr>
              <w:pStyle w:val="Compact"/>
              <w:jc w:val="right"/>
            </w:pPr>
            <w:r>
              <w:t xml:space="preserve">(0.019)</w:t>
            </w:r>
          </w:p>
        </w:tc>
        <w:tc>
          <w:tcPr/>
          <w:p>
            <w:pPr>
              <w:pStyle w:val="Compact"/>
            </w:pPr>
          </w:p>
        </w:tc>
      </w:tr>
      <w:tr>
        <w:tc>
          <w:tcPr/>
          <w:p>
            <w:pPr>
              <w:pStyle w:val="Compact"/>
              <w:jc w:val="left"/>
            </w:pPr>
            <w:r>
              <w:t xml:space="preserve">Nifty 50</w:t>
            </w:r>
          </w:p>
        </w:tc>
        <w:tc>
          <w:tcPr/>
          <w:p>
            <w:pPr>
              <w:pStyle w:val="Compact"/>
              <w:jc w:val="right"/>
            </w:pPr>
            <w:r>
              <w:t xml:space="preserve">0.091</w:t>
            </w:r>
          </w:p>
        </w:tc>
        <w:tc>
          <w:tcPr/>
          <w:p>
            <w:pPr>
              <w:pStyle w:val="Compact"/>
              <w:jc w:val="right"/>
            </w:pPr>
            <w:r>
              <w:t xml:space="preserve">−0.004</w:t>
            </w:r>
          </w:p>
        </w:tc>
        <w:tc>
          <w:tcPr/>
          <w:p>
            <w:pPr>
              <w:pStyle w:val="Compact"/>
              <w:jc w:val="right"/>
            </w:pPr>
            <w:r>
              <w:t xml:space="preserve">1,248</w:t>
            </w:r>
          </w:p>
        </w:tc>
      </w:tr>
      <w:tr>
        <w:tc>
          <w:tcPr/>
          <w:p>
            <w:pPr>
              <w:pStyle w:val="Compact"/>
            </w:pPr>
          </w:p>
        </w:tc>
        <w:tc>
          <w:tcPr/>
          <w:p>
            <w:pPr>
              <w:pStyle w:val="Compact"/>
              <w:jc w:val="right"/>
            </w:pPr>
            <w:r>
              <w:t xml:space="preserve">(0.112)</w:t>
            </w:r>
          </w:p>
        </w:tc>
        <w:tc>
          <w:tcPr/>
          <w:p>
            <w:pPr>
              <w:pStyle w:val="Compact"/>
              <w:jc w:val="right"/>
            </w:pPr>
            <w:r>
              <w:t xml:space="preserve">(0.029)</w:t>
            </w:r>
          </w:p>
        </w:tc>
        <w:tc>
          <w:tcPr/>
          <w:p>
            <w:pPr>
              <w:pStyle w:val="Compact"/>
            </w:pPr>
          </w:p>
        </w:tc>
      </w:tr>
      <w:tr>
        <w:tc>
          <w:tcPr/>
          <w:p>
            <w:pPr>
              <w:pStyle w:val="Compact"/>
              <w:jc w:val="left"/>
            </w:pPr>
            <w:r>
              <w:t xml:space="preserve">Bank Nifty</w:t>
            </w:r>
          </w:p>
        </w:tc>
        <w:tc>
          <w:tcPr/>
          <w:p>
            <w:pPr>
              <w:pStyle w:val="Compact"/>
              <w:jc w:val="right"/>
            </w:pPr>
            <w:r>
              <w:t xml:space="preserve">0.072</w:t>
            </w:r>
          </w:p>
        </w:tc>
        <w:tc>
          <w:tcPr/>
          <w:p>
            <w:pPr>
              <w:pStyle w:val="Compact"/>
              <w:jc w:val="right"/>
            </w:pPr>
            <w:r>
              <w:t xml:space="preserve">0.031</w:t>
            </w:r>
          </w:p>
        </w:tc>
        <w:tc>
          <w:tcPr/>
          <w:p>
            <w:pPr>
              <w:pStyle w:val="Compact"/>
              <w:jc w:val="right"/>
            </w:pPr>
            <w:r>
              <w:t xml:space="preserve">1,252</w:t>
            </w:r>
          </w:p>
        </w:tc>
      </w:tr>
      <w:tr>
        <w:tc>
          <w:tcPr/>
          <w:p>
            <w:pPr>
              <w:pStyle w:val="Compact"/>
            </w:pPr>
          </w:p>
        </w:tc>
        <w:tc>
          <w:tcPr/>
          <w:p>
            <w:pPr>
              <w:pStyle w:val="Compact"/>
              <w:jc w:val="right"/>
            </w:pPr>
            <w:r>
              <w:t xml:space="preserve">(0.102)</w:t>
            </w:r>
          </w:p>
        </w:tc>
        <w:tc>
          <w:tcPr/>
          <w:p>
            <w:pPr>
              <w:pStyle w:val="Compact"/>
              <w:jc w:val="right"/>
            </w:pPr>
            <w:r>
              <w:t xml:space="preserve">(0.030)</w:t>
            </w:r>
          </w:p>
        </w:tc>
        <w:tc>
          <w:tcPr/>
          <w:p>
            <w:pPr>
              <w:pStyle w:val="Compact"/>
            </w:pPr>
          </w:p>
        </w:tc>
      </w:tr>
      <w:tr>
        <w:tc>
          <w:tcPr/>
          <w:p>
            <w:pPr>
              <w:pStyle w:val="Compact"/>
              <w:jc w:val="left"/>
            </w:pPr>
            <w:r>
              <w:t xml:space="preserve">Sensex</w:t>
            </w:r>
          </w:p>
        </w:tc>
        <w:tc>
          <w:tcPr/>
          <w:p>
            <w:pPr>
              <w:pStyle w:val="Compact"/>
              <w:jc w:val="right"/>
            </w:pPr>
            <w:r>
              <w:t xml:space="preserve">0.158</w:t>
            </w:r>
          </w:p>
        </w:tc>
        <w:tc>
          <w:tcPr/>
          <w:p>
            <w:pPr>
              <w:pStyle w:val="Compact"/>
              <w:jc w:val="right"/>
            </w:pPr>
            <w:r>
              <w:t xml:space="preserve">−0.025</w:t>
            </w:r>
          </w:p>
        </w:tc>
        <w:tc>
          <w:tcPr/>
          <w:p>
            <w:pPr>
              <w:pStyle w:val="Compact"/>
              <w:jc w:val="right"/>
            </w:pPr>
            <w:r>
              <w:t xml:space="preserve">928</w:t>
            </w:r>
          </w:p>
        </w:tc>
      </w:tr>
      <w:tr>
        <w:tc>
          <w:tcPr/>
          <w:p>
            <w:pPr>
              <w:pStyle w:val="Compact"/>
            </w:pPr>
          </w:p>
        </w:tc>
        <w:tc>
          <w:tcPr/>
          <w:p>
            <w:pPr>
              <w:pStyle w:val="Compact"/>
              <w:jc w:val="right"/>
            </w:pPr>
            <w:r>
              <w:t xml:space="preserve">(0.109)</w:t>
            </w:r>
          </w:p>
        </w:tc>
        <w:tc>
          <w:tcPr/>
          <w:p>
            <w:pPr>
              <w:pStyle w:val="Compact"/>
              <w:jc w:val="right"/>
            </w:pPr>
            <w:r>
              <w:t xml:space="preserve">(0.029)</w:t>
            </w:r>
          </w:p>
        </w:tc>
        <w:tc>
          <w:tcPr/>
          <w:p>
            <w:pPr>
              <w:pStyle w:val="Compact"/>
            </w:pPr>
          </w:p>
        </w:tc>
      </w:tr>
      <w:tr>
        <w:tc>
          <w:tcPr/>
          <w:p>
            <w:pPr>
              <w:pStyle w:val="Compact"/>
              <w:jc w:val="left"/>
            </w:pPr>
            <w:r>
              <w:t xml:space="preserve">Bank Nifty, Jan 2023 – Mar 2025</w:t>
            </w:r>
          </w:p>
        </w:tc>
        <w:tc>
          <w:tcPr/>
          <w:p>
            <w:pPr>
              <w:pStyle w:val="Compact"/>
              <w:jc w:val="right"/>
            </w:pPr>
            <w:r>
              <w:t xml:space="preserve">−0.001</w:t>
            </w:r>
          </w:p>
        </w:tc>
        <w:tc>
          <w:tcPr/>
          <w:p>
            <w:pPr>
              <w:pStyle w:val="Compact"/>
              <w:jc w:val="right"/>
            </w:pPr>
            <w:r>
              <w:t xml:space="preserve">−0.094***</w:t>
            </w:r>
          </w:p>
        </w:tc>
        <w:tc>
          <w:tcPr/>
          <w:p>
            <w:pPr>
              <w:pStyle w:val="Compact"/>
              <w:jc w:val="right"/>
            </w:pPr>
            <w:r>
              <w:t xml:space="preserve">551</w:t>
            </w:r>
          </w:p>
        </w:tc>
      </w:tr>
      <w:tr>
        <w:tc>
          <w:tcPr/>
          <w:p>
            <w:pPr>
              <w:pStyle w:val="Compact"/>
            </w:pPr>
          </w:p>
        </w:tc>
        <w:tc>
          <w:tcPr/>
          <w:p>
            <w:pPr>
              <w:pStyle w:val="Compact"/>
              <w:jc w:val="right"/>
            </w:pPr>
            <w:r>
              <w:t xml:space="preserve">(0.128)</w:t>
            </w:r>
          </w:p>
        </w:tc>
        <w:tc>
          <w:tcPr/>
          <w:p>
            <w:pPr>
              <w:pStyle w:val="Compact"/>
              <w:jc w:val="right"/>
            </w:pPr>
            <w:r>
              <w:t xml:space="preserve">(0.035)</w:t>
            </w:r>
          </w:p>
        </w:tc>
        <w:tc>
          <w:tcPr/>
          <w:p>
            <w:pPr>
              <w:pStyle w:val="Compact"/>
            </w:pPr>
          </w:p>
        </w:tc>
      </w:tr>
    </w:tbl>
    <w:p>
      <w:pPr>
        <w:pStyle w:val="BodyText"/>
      </w:pPr>
      <w:r>
        <w:rPr>
          <w:iCs/>
          <w:i/>
        </w:rPr>
        <w:t xml:space="preserve">Note.</w:t>
      </w:r>
      <w:r>
        <w:t xml:space="preserve"> </w:t>
      </w:r>
      <w:r>
        <w:t xml:space="preserve">First column: coefficient on the interaction of the morning return (09:15–12:30) with own expiry in a regression of the afternoon return (12:30–15:30). Second column: coefficient on the interaction of the return from the open to 15:00 with own expiry in a regression of the return from 15:00 to 15:30. Negative values indicate stronger reversal on expiry days. The final row covers the period of the allegations in SEBI’s interim order of 3 July 2025.</w:t>
      </w:r>
    </w:p>
    <w:bookmarkEnd w:id="23"/>
    <w:bookmarkStart w:id="24" w:name="s5.-settlement-window-effects-by-period"/>
    <w:p>
      <w:pPr>
        <w:pStyle w:val="Heading1"/>
      </w:pPr>
      <w:r>
        <w:t xml:space="preserve">S5. Settlement-window effects by period</w:t>
      </w:r>
    </w:p>
    <w:p>
      <w:pPr>
        <w:pStyle w:val="FirstParagraph"/>
      </w:pPr>
      <w:r>
        <w:rPr>
          <w:bCs/>
          <w:b/>
        </w:rPr>
        <w:t xml:space="preserve">Table S5.</w:t>
      </w:r>
      <w:r>
        <w:t xml:space="preserve"> </w:t>
      </w:r>
      <w:r>
        <w:t xml:space="preserve">Expiry effects on 15:00–15:30 log realized variance by period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right"/>
            </w:pPr>
            <w:r>
              <w:t xml:space="preserve">Own weekly</w:t>
            </w:r>
          </w:p>
        </w:tc>
        <w:tc>
          <w:tcPr/>
          <w:p>
            <w:pPr>
              <w:pStyle w:val="Compact"/>
              <w:jc w:val="right"/>
            </w:pPr>
            <w:r>
              <w:t xml:space="preserve">Own monthly</w:t>
            </w:r>
          </w:p>
        </w:tc>
        <w:tc>
          <w:tcPr/>
          <w:p>
            <w:pPr>
              <w:pStyle w:val="Compact"/>
              <w:jc w:val="right"/>
            </w:pPr>
            <w:r>
              <w:t xml:space="preserve">Another large index</w:t>
            </w:r>
          </w:p>
        </w:tc>
      </w:tr>
      <w:tr>
        <w:tc>
          <w:tcPr/>
          <w:p>
            <w:pPr>
              <w:pStyle w:val="Compact"/>
              <w:jc w:val="left"/>
            </w:pPr>
            <w:r>
              <w:t xml:space="preserve">2019-23 (minute data: 2021-23)</w:t>
            </w:r>
          </w:p>
        </w:tc>
        <w:tc>
          <w:tcPr/>
          <w:p>
            <w:pPr>
              <w:pStyle w:val="Compact"/>
              <w:jc w:val="right"/>
            </w:pPr>
            <w:r>
              <w:t xml:space="preserve">0.192***</w:t>
            </w:r>
          </w:p>
        </w:tc>
        <w:tc>
          <w:tcPr/>
          <w:p>
            <w:pPr>
              <w:pStyle w:val="Compact"/>
              <w:jc w:val="right"/>
            </w:pPr>
            <w:r>
              <w:t xml:space="preserve">0.383***</w:t>
            </w:r>
          </w:p>
        </w:tc>
        <w:tc>
          <w:tcPr/>
          <w:p>
            <w:pPr>
              <w:pStyle w:val="Compact"/>
              <w:jc w:val="right"/>
            </w:pPr>
            <w:r>
              <w:t xml:space="preserve">−0.000</w:t>
            </w:r>
          </w:p>
        </w:tc>
      </w:tr>
      <w:tr>
        <w:tc>
          <w:tcPr/>
          <w:p>
            <w:pPr>
              <w:pStyle w:val="Compact"/>
            </w:pPr>
          </w:p>
        </w:tc>
        <w:tc>
          <w:tcPr/>
          <w:p>
            <w:pPr>
              <w:pStyle w:val="Compact"/>
              <w:jc w:val="right"/>
            </w:pPr>
            <w:r>
              <w:t xml:space="preserve">(0.056)</w:t>
            </w:r>
          </w:p>
        </w:tc>
        <w:tc>
          <w:tcPr/>
          <w:p>
            <w:pPr>
              <w:pStyle w:val="Compact"/>
              <w:jc w:val="right"/>
            </w:pPr>
            <w:r>
              <w:t xml:space="preserve">(0.093)</w:t>
            </w:r>
          </w:p>
        </w:tc>
        <w:tc>
          <w:tcPr/>
          <w:p>
            <w:pPr>
              <w:pStyle w:val="Compact"/>
              <w:jc w:val="right"/>
            </w:pPr>
            <w:r>
              <w:t xml:space="preserve">(0.075)</w:t>
            </w:r>
          </w:p>
        </w:tc>
      </w:tr>
      <w:tr>
        <w:tc>
          <w:tcPr/>
          <w:p>
            <w:pPr>
              <w:pStyle w:val="Compact"/>
              <w:jc w:val="left"/>
            </w:pPr>
            <w:r>
              <w:t xml:space="preserve">2024 to SEBI measures</w:t>
            </w:r>
          </w:p>
        </w:tc>
        <w:tc>
          <w:tcPr/>
          <w:p>
            <w:pPr>
              <w:pStyle w:val="Compact"/>
              <w:jc w:val="right"/>
            </w:pPr>
            <w:r>
              <w:t xml:space="preserve">0.603***</w:t>
            </w:r>
          </w:p>
        </w:tc>
        <w:tc>
          <w:tcPr/>
          <w:p>
            <w:pPr>
              <w:pStyle w:val="Compact"/>
              <w:jc w:val="right"/>
            </w:pPr>
            <w:r>
              <w:t xml:space="preserve">0.714***</w:t>
            </w:r>
          </w:p>
        </w:tc>
        <w:tc>
          <w:tcPr/>
          <w:p>
            <w:pPr>
              <w:pStyle w:val="Compact"/>
              <w:jc w:val="right"/>
            </w:pPr>
            <w:r>
              <w:t xml:space="preserve">0.226</w:t>
            </w:r>
          </w:p>
        </w:tc>
      </w:tr>
      <w:tr>
        <w:tc>
          <w:tcPr/>
          <w:p>
            <w:pPr>
              <w:pStyle w:val="Compact"/>
            </w:pPr>
          </w:p>
        </w:tc>
        <w:tc>
          <w:tcPr/>
          <w:p>
            <w:pPr>
              <w:pStyle w:val="Compact"/>
              <w:jc w:val="right"/>
            </w:pPr>
            <w:r>
              <w:t xml:space="preserve">(0.186)</w:t>
            </w:r>
          </w:p>
        </w:tc>
        <w:tc>
          <w:tcPr/>
          <w:p>
            <w:pPr>
              <w:pStyle w:val="Compact"/>
              <w:jc w:val="right"/>
            </w:pPr>
            <w:r>
              <w:t xml:space="preserve">(0.180)</w:t>
            </w:r>
          </w:p>
        </w:tc>
        <w:tc>
          <w:tcPr/>
          <w:p>
            <w:pPr>
              <w:pStyle w:val="Compact"/>
              <w:jc w:val="right"/>
            </w:pPr>
            <w:r>
              <w:t xml:space="preserve">(0.190)</w:t>
            </w:r>
          </w:p>
        </w:tc>
      </w:tr>
      <w:tr>
        <w:tc>
          <w:tcPr/>
          <w:p>
            <w:pPr>
              <w:pStyle w:val="Compact"/>
              <w:jc w:val="left"/>
            </w:pPr>
            <w:r>
              <w:t xml:space="preserve">SEBI measures to interim order</w:t>
            </w:r>
          </w:p>
        </w:tc>
        <w:tc>
          <w:tcPr/>
          <w:p>
            <w:pPr>
              <w:pStyle w:val="Compact"/>
              <w:jc w:val="right"/>
            </w:pPr>
            <w:r>
              <w:t xml:space="preserve">0.494**</w:t>
            </w:r>
          </w:p>
        </w:tc>
        <w:tc>
          <w:tcPr/>
          <w:p>
            <w:pPr>
              <w:pStyle w:val="Compact"/>
              <w:jc w:val="right"/>
            </w:pPr>
            <w:r>
              <w:t xml:space="preserve">0.312**</w:t>
            </w:r>
          </w:p>
        </w:tc>
        <w:tc>
          <w:tcPr/>
          <w:p>
            <w:pPr>
              <w:pStyle w:val="Compact"/>
              <w:jc w:val="right"/>
            </w:pPr>
            <w:r>
              <w:t xml:space="preserve">0.258</w:t>
            </w:r>
          </w:p>
        </w:tc>
      </w:tr>
      <w:tr>
        <w:tc>
          <w:tcPr/>
          <w:p>
            <w:pPr>
              <w:pStyle w:val="Compact"/>
            </w:pPr>
          </w:p>
        </w:tc>
        <w:tc>
          <w:tcPr/>
          <w:p>
            <w:pPr>
              <w:pStyle w:val="Compact"/>
              <w:jc w:val="right"/>
            </w:pPr>
            <w:r>
              <w:t xml:space="preserve">(0.187)</w:t>
            </w:r>
          </w:p>
        </w:tc>
        <w:tc>
          <w:tcPr/>
          <w:p>
            <w:pPr>
              <w:pStyle w:val="Compact"/>
              <w:jc w:val="right"/>
            </w:pPr>
            <w:r>
              <w:t xml:space="preserve">(0.131)</w:t>
            </w:r>
          </w:p>
        </w:tc>
        <w:tc>
          <w:tcPr/>
          <w:p>
            <w:pPr>
              <w:pStyle w:val="Compact"/>
              <w:jc w:val="right"/>
            </w:pPr>
            <w:r>
              <w:t xml:space="preserve">(0.152)</w:t>
            </w:r>
          </w:p>
        </w:tc>
      </w:tr>
      <w:tr>
        <w:tc>
          <w:tcPr/>
          <w:p>
            <w:pPr>
              <w:pStyle w:val="Compact"/>
              <w:jc w:val="left"/>
            </w:pPr>
            <w:r>
              <w:t xml:space="preserve">after interim order</w:t>
            </w:r>
          </w:p>
        </w:tc>
        <w:tc>
          <w:tcPr/>
          <w:p>
            <w:pPr>
              <w:pStyle w:val="Compact"/>
              <w:jc w:val="right"/>
            </w:pPr>
            <w:r>
              <w:t xml:space="preserve">0.921***</w:t>
            </w:r>
          </w:p>
        </w:tc>
        <w:tc>
          <w:tcPr/>
          <w:p>
            <w:pPr>
              <w:pStyle w:val="Compact"/>
              <w:jc w:val="right"/>
            </w:pPr>
            <w:r>
              <w:t xml:space="preserve">0.396***</w:t>
            </w:r>
          </w:p>
        </w:tc>
        <w:tc>
          <w:tcPr/>
          <w:p>
            <w:pPr>
              <w:pStyle w:val="Compact"/>
              <w:jc w:val="right"/>
            </w:pPr>
            <w:r>
              <w:t xml:space="preserve">0.489***</w:t>
            </w:r>
          </w:p>
        </w:tc>
      </w:tr>
      <w:tr>
        <w:tc>
          <w:tcPr/>
          <w:p>
            <w:pPr>
              <w:pStyle w:val="Compact"/>
            </w:pPr>
          </w:p>
        </w:tc>
        <w:tc>
          <w:tcPr/>
          <w:p>
            <w:pPr>
              <w:pStyle w:val="Compact"/>
              <w:jc w:val="right"/>
            </w:pPr>
            <w:r>
              <w:t xml:space="preserve">(0.169)</w:t>
            </w:r>
          </w:p>
        </w:tc>
        <w:tc>
          <w:tcPr/>
          <w:p>
            <w:pPr>
              <w:pStyle w:val="Compact"/>
              <w:jc w:val="right"/>
            </w:pPr>
            <w:r>
              <w:t xml:space="preserve">(0.106)</w:t>
            </w:r>
          </w:p>
        </w:tc>
        <w:tc>
          <w:tcPr/>
          <w:p>
            <w:pPr>
              <w:pStyle w:val="Compact"/>
              <w:jc w:val="right"/>
            </w:pPr>
            <w:r>
              <w:t xml:space="preserve">(0.162)</w:t>
            </w:r>
          </w:p>
        </w:tc>
      </w:tr>
    </w:tbl>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Period</w:t>
            </w:r>
          </w:p>
        </w:tc>
        <w:tc>
          <w:tcPr/>
          <w:p>
            <w:pPr>
              <w:pStyle w:val="Compact"/>
              <w:jc w:val="right"/>
            </w:pPr>
            <w:r>
              <w:t xml:space="preserve">Nifty 50</w:t>
            </w:r>
          </w:p>
        </w:tc>
        <w:tc>
          <w:tcPr/>
          <w:p>
            <w:pPr>
              <w:pStyle w:val="Compact"/>
              <w:jc w:val="right"/>
            </w:pPr>
            <w:r>
              <w:t xml:space="preserve">Bank Nifty</w:t>
            </w:r>
          </w:p>
        </w:tc>
        <w:tc>
          <w:tcPr/>
          <w:p>
            <w:pPr>
              <w:pStyle w:val="Compact"/>
              <w:jc w:val="right"/>
            </w:pPr>
            <w:r>
              <w:t xml:space="preserve">Sensex</w:t>
            </w:r>
          </w:p>
        </w:tc>
      </w:tr>
      <w:tr>
        <w:tc>
          <w:tcPr/>
          <w:p>
            <w:pPr>
              <w:pStyle w:val="Compact"/>
              <w:jc w:val="left"/>
            </w:pPr>
            <w:r>
              <w:t xml:space="preserve">2019-23 (minute data: 2021-23)</w:t>
            </w:r>
          </w:p>
        </w:tc>
        <w:tc>
          <w:tcPr/>
          <w:p>
            <w:pPr>
              <w:pStyle w:val="Compact"/>
              <w:jc w:val="right"/>
            </w:pPr>
            <w:r>
              <w:t xml:space="preserve">0.011 [136]</w:t>
            </w:r>
          </w:p>
        </w:tc>
        <w:tc>
          <w:tcPr/>
          <w:p>
            <w:pPr>
              <w:pStyle w:val="Compact"/>
              <w:jc w:val="right"/>
            </w:pPr>
            <w:r>
              <w:t xml:space="preserve">0.151** [136]</w:t>
            </w:r>
          </w:p>
        </w:tc>
        <w:tc>
          <w:tcPr/>
          <w:p>
            <w:pPr>
              <w:pStyle w:val="Compact"/>
              <w:jc w:val="right"/>
            </w:pPr>
            <w:r>
              <w:t xml:space="preserve">0.512*** [33]</w:t>
            </w:r>
          </w:p>
        </w:tc>
      </w:tr>
      <w:tr>
        <w:tc>
          <w:tcPr/>
          <w:p>
            <w:pPr>
              <w:pStyle w:val="Compact"/>
            </w:pPr>
          </w:p>
        </w:tc>
        <w:tc>
          <w:tcPr/>
          <w:p>
            <w:pPr>
              <w:pStyle w:val="Compact"/>
              <w:jc w:val="right"/>
            </w:pPr>
            <w:r>
              <w:t xml:space="preserve">(0.051)</w:t>
            </w:r>
          </w:p>
        </w:tc>
        <w:tc>
          <w:tcPr/>
          <w:p>
            <w:pPr>
              <w:pStyle w:val="Compact"/>
              <w:jc w:val="right"/>
            </w:pPr>
            <w:r>
              <w:t xml:space="preserve">(0.066)</w:t>
            </w:r>
          </w:p>
        </w:tc>
        <w:tc>
          <w:tcPr/>
          <w:p>
            <w:pPr>
              <w:pStyle w:val="Compact"/>
              <w:jc w:val="right"/>
            </w:pPr>
            <w:r>
              <w:t xml:space="preserve">(0.131)</w:t>
            </w:r>
          </w:p>
        </w:tc>
      </w:tr>
      <w:tr>
        <w:tc>
          <w:tcPr/>
          <w:p>
            <w:pPr>
              <w:pStyle w:val="Compact"/>
              <w:jc w:val="left"/>
            </w:pPr>
            <w:r>
              <w:t xml:space="preserve">2024 to SEBI measures</w:t>
            </w:r>
          </w:p>
        </w:tc>
        <w:tc>
          <w:tcPr/>
          <w:p>
            <w:pPr>
              <w:pStyle w:val="Compact"/>
              <w:jc w:val="right"/>
            </w:pPr>
            <w:r>
              <w:t xml:space="preserve">0.360* [46]</w:t>
            </w:r>
          </w:p>
        </w:tc>
        <w:tc>
          <w:tcPr/>
          <w:p>
            <w:pPr>
              <w:pStyle w:val="Compact"/>
              <w:jc w:val="right"/>
            </w:pPr>
            <w:r>
              <w:t xml:space="preserve">0.521*** [46]</w:t>
            </w:r>
          </w:p>
        </w:tc>
        <w:tc>
          <w:tcPr/>
          <w:p>
            <w:pPr>
              <w:pStyle w:val="Compact"/>
              <w:jc w:val="right"/>
            </w:pPr>
            <w:r>
              <w:t xml:space="preserve">1.037*** [46]</w:t>
            </w:r>
          </w:p>
        </w:tc>
      </w:tr>
      <w:tr>
        <w:tc>
          <w:tcPr/>
          <w:p>
            <w:pPr>
              <w:pStyle w:val="Compact"/>
            </w:pPr>
          </w:p>
        </w:tc>
        <w:tc>
          <w:tcPr/>
          <w:p>
            <w:pPr>
              <w:pStyle w:val="Compact"/>
              <w:jc w:val="right"/>
            </w:pPr>
            <w:r>
              <w:t xml:space="preserve">(0.192)</w:t>
            </w:r>
          </w:p>
        </w:tc>
        <w:tc>
          <w:tcPr/>
          <w:p>
            <w:pPr>
              <w:pStyle w:val="Compact"/>
              <w:jc w:val="right"/>
            </w:pPr>
            <w:r>
              <w:t xml:space="preserve">(0.161)</w:t>
            </w:r>
          </w:p>
        </w:tc>
        <w:tc>
          <w:tcPr/>
          <w:p>
            <w:pPr>
              <w:pStyle w:val="Compact"/>
              <w:jc w:val="right"/>
            </w:pPr>
            <w:r>
              <w:t xml:space="preserve">(0.182)</w:t>
            </w:r>
          </w:p>
        </w:tc>
      </w:tr>
      <w:tr>
        <w:tc>
          <w:tcPr/>
          <w:p>
            <w:pPr>
              <w:pStyle w:val="Compact"/>
              <w:jc w:val="left"/>
            </w:pPr>
            <w:r>
              <w:t xml:space="preserve">SEBI measures to interim order</w:t>
            </w:r>
          </w:p>
        </w:tc>
        <w:tc>
          <w:tcPr/>
          <w:p>
            <w:pPr>
              <w:pStyle w:val="Compact"/>
              <w:jc w:val="right"/>
            </w:pPr>
            <w:r>
              <w:t xml:space="preserve">0.230 [32]</w:t>
            </w:r>
          </w:p>
        </w:tc>
        <w:tc>
          <w:tcPr/>
          <w:p>
            <w:pPr>
              <w:pStyle w:val="Compact"/>
              <w:jc w:val="right"/>
            </w:pPr>
            <w:r>
              <w:t xml:space="preserve">0.615** [8]</w:t>
            </w:r>
          </w:p>
        </w:tc>
        <w:tc>
          <w:tcPr/>
          <w:p>
            <w:pPr>
              <w:pStyle w:val="Compact"/>
              <w:jc w:val="right"/>
            </w:pPr>
            <w:r>
              <w:t xml:space="preserve">0.566*** [33]</w:t>
            </w:r>
          </w:p>
        </w:tc>
      </w:tr>
      <w:tr>
        <w:tc>
          <w:tcPr/>
          <w:p>
            <w:pPr>
              <w:pStyle w:val="Compact"/>
            </w:pPr>
          </w:p>
        </w:tc>
        <w:tc>
          <w:tcPr/>
          <w:p>
            <w:pPr>
              <w:pStyle w:val="Compact"/>
              <w:jc w:val="right"/>
            </w:pPr>
            <w:r>
              <w:t xml:space="preserve">(0.195)</w:t>
            </w:r>
          </w:p>
        </w:tc>
        <w:tc>
          <w:tcPr/>
          <w:p>
            <w:pPr>
              <w:pStyle w:val="Compact"/>
              <w:jc w:val="right"/>
            </w:pPr>
            <w:r>
              <w:t xml:space="preserve">(0.263)</w:t>
            </w:r>
          </w:p>
        </w:tc>
        <w:tc>
          <w:tcPr/>
          <w:p>
            <w:pPr>
              <w:pStyle w:val="Compact"/>
              <w:jc w:val="right"/>
            </w:pPr>
            <w:r>
              <w:t xml:space="preserve">(0.152)</w:t>
            </w:r>
          </w:p>
        </w:tc>
      </w:tr>
      <w:tr>
        <w:tc>
          <w:tcPr/>
          <w:p>
            <w:pPr>
              <w:pStyle w:val="Compact"/>
              <w:jc w:val="left"/>
            </w:pPr>
            <w:r>
              <w:t xml:space="preserve">after interim order</w:t>
            </w:r>
          </w:p>
        </w:tc>
        <w:tc>
          <w:tcPr/>
          <w:p>
            <w:pPr>
              <w:pStyle w:val="Compact"/>
              <w:jc w:val="right"/>
            </w:pPr>
            <w:r>
              <w:t xml:space="preserve">0.552*** [51]</w:t>
            </w:r>
          </w:p>
        </w:tc>
        <w:tc>
          <w:tcPr/>
          <w:p>
            <w:pPr>
              <w:pStyle w:val="Compact"/>
              <w:jc w:val="right"/>
            </w:pPr>
            <w:r>
              <w:t xml:space="preserve">0.188 [12]</w:t>
            </w:r>
          </w:p>
        </w:tc>
        <w:tc>
          <w:tcPr/>
          <w:p>
            <w:pPr>
              <w:pStyle w:val="Compact"/>
              <w:jc w:val="right"/>
            </w:pPr>
            <w:r>
              <w:t xml:space="preserve">1.121*** [51]</w:t>
            </w:r>
          </w:p>
        </w:tc>
      </w:tr>
      <w:tr>
        <w:tc>
          <w:tcPr/>
          <w:p>
            <w:pPr>
              <w:pStyle w:val="Compact"/>
            </w:pPr>
          </w:p>
        </w:tc>
        <w:tc>
          <w:tcPr/>
          <w:p>
            <w:pPr>
              <w:pStyle w:val="Compact"/>
              <w:jc w:val="right"/>
            </w:pPr>
            <w:r>
              <w:t xml:space="preserve">(0.152)</w:t>
            </w:r>
          </w:p>
        </w:tc>
        <w:tc>
          <w:tcPr/>
          <w:p>
            <w:pPr>
              <w:pStyle w:val="Compact"/>
              <w:jc w:val="right"/>
            </w:pPr>
            <w:r>
              <w:t xml:space="preserve">(0.220)</w:t>
            </w:r>
          </w:p>
        </w:tc>
        <w:tc>
          <w:tcPr/>
          <w:p>
            <w:pPr>
              <w:pStyle w:val="Compact"/>
              <w:jc w:val="right"/>
            </w:pPr>
            <w:r>
              <w:t xml:space="preserve">(0.157)</w:t>
            </w:r>
          </w:p>
        </w:tc>
      </w:tr>
    </w:tbl>
    <w:p>
      <w:pPr>
        <w:pStyle w:val="BodyText"/>
      </w:pPr>
      <w:r>
        <w:rPr>
          <w:iCs/>
          <w:i/>
        </w:rPr>
        <w:t xml:space="preserve">Note.</w:t>
      </w:r>
      <w:r>
        <w:t xml:space="preserve"> </w:t>
      </w:r>
      <w:r>
        <w:t xml:space="preserve">Top panel: pooled estimates. Bottom panel: own-expiry effect for each index (number of own expiry days in brackets). Both compare indices with each other on the same weekday and week (index-by-week and common weekday fixed effects). SEBI’s measures took effect on 20 November 2024; the interim order is dated 3 July 2025. One-minute data start in May 2021, so the first period covers 2021–2023.</w:t>
      </w:r>
    </w:p>
    <w:bookmarkEnd w:id="24"/>
    <w:bookmarkStart w:id="25" w:name="s6.-forecasting-next-day-volatility"/>
    <w:p>
      <w:pPr>
        <w:pStyle w:val="Heading1"/>
      </w:pPr>
      <w:r>
        <w:t xml:space="preserve">S6. Forecasting next-day volatility</w:t>
      </w:r>
    </w:p>
    <w:p>
      <w:pPr>
        <w:pStyle w:val="FirstParagraph"/>
      </w:pPr>
      <w:r>
        <w:rPr>
          <w:bCs/>
          <w:b/>
        </w:rPr>
        <w:t xml:space="preserve">Table S6.</w:t>
      </w:r>
      <w:r>
        <w:t xml:space="preserve"> </w:t>
      </w:r>
      <w:r>
        <w:t xml:space="preserve">Does the expiry calendar improve volatility forecasts?</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Index</w:t>
            </w:r>
          </w:p>
        </w:tc>
        <w:tc>
          <w:tcPr/>
          <w:p>
            <w:pPr>
              <w:pStyle w:val="Compact"/>
              <w:jc w:val="right"/>
            </w:pPr>
            <w:r>
              <w:t xml:space="preserve">Forecast days</w:t>
            </w:r>
          </w:p>
        </w:tc>
        <w:tc>
          <w:tcPr/>
          <w:p>
            <w:pPr>
              <w:pStyle w:val="Compact"/>
              <w:jc w:val="right"/>
            </w:pPr>
            <w:r>
              <w:t xml:space="preserve">QLIKE, HAR</w:t>
            </w:r>
          </w:p>
        </w:tc>
        <w:tc>
          <w:tcPr/>
          <w:p>
            <w:pPr>
              <w:pStyle w:val="Compact"/>
              <w:jc w:val="right"/>
            </w:pPr>
            <w:r>
              <w:t xml:space="preserve">QLIKE, HAR + calendar</w:t>
            </w:r>
          </w:p>
        </w:tc>
        <w:tc>
          <w:tcPr/>
          <w:p>
            <w:pPr>
              <w:pStyle w:val="Compact"/>
              <w:jc w:val="right"/>
            </w:pPr>
            <w:r>
              <w:t xml:space="preserve">Change (%)</w:t>
            </w:r>
          </w:p>
        </w:tc>
        <w:tc>
          <w:tcPr/>
          <w:p>
            <w:pPr>
              <w:pStyle w:val="Compact"/>
              <w:jc w:val="right"/>
            </w:pPr>
            <w:r>
              <w:t xml:space="preserve">Diebold–Mariano</w:t>
            </w:r>
            <w:r>
              <w:t xml:space="preserve"> </w:t>
            </w:r>
            <w:r>
              <w:rPr>
                <w:iCs/>
                <w:i/>
              </w:rPr>
              <w:t xml:space="preserve">p</w:t>
            </w:r>
          </w:p>
        </w:tc>
      </w:tr>
      <w:tr>
        <w:tc>
          <w:tcPr/>
          <w:p>
            <w:pPr>
              <w:pStyle w:val="Compact"/>
              <w:jc w:val="left"/>
            </w:pPr>
            <w:r>
              <w:t xml:space="preserve">Nifty 50</w:t>
            </w:r>
          </w:p>
        </w:tc>
        <w:tc>
          <w:tcPr/>
          <w:p>
            <w:pPr>
              <w:pStyle w:val="Compact"/>
              <w:jc w:val="right"/>
            </w:pPr>
            <w:r>
              <w:t xml:space="preserve">2,107</w:t>
            </w:r>
          </w:p>
        </w:tc>
        <w:tc>
          <w:tcPr/>
          <w:p>
            <w:pPr>
              <w:pStyle w:val="Compact"/>
              <w:jc w:val="right"/>
            </w:pPr>
            <w:r>
              <w:t xml:space="preserve">0.3702</w:t>
            </w:r>
          </w:p>
        </w:tc>
        <w:tc>
          <w:tcPr/>
          <w:p>
            <w:pPr>
              <w:pStyle w:val="Compact"/>
              <w:jc w:val="right"/>
            </w:pPr>
            <w:r>
              <w:t xml:space="preserve">0.3754</w:t>
            </w:r>
          </w:p>
        </w:tc>
        <w:tc>
          <w:tcPr/>
          <w:p>
            <w:pPr>
              <w:pStyle w:val="Compact"/>
              <w:jc w:val="right"/>
            </w:pPr>
            <w:r>
              <w:t xml:space="preserve">+1.4</w:t>
            </w:r>
          </w:p>
        </w:tc>
        <w:tc>
          <w:tcPr/>
          <w:p>
            <w:pPr>
              <w:pStyle w:val="Compact"/>
              <w:jc w:val="right"/>
            </w:pPr>
            <w:r>
              <w:t xml:space="preserve">0.039</w:t>
            </w:r>
          </w:p>
        </w:tc>
      </w:tr>
      <w:tr>
        <w:tc>
          <w:tcPr/>
          <w:p>
            <w:pPr>
              <w:pStyle w:val="Compact"/>
              <w:jc w:val="left"/>
            </w:pPr>
            <w:r>
              <w:t xml:space="preserve">Bank Nifty</w:t>
            </w:r>
          </w:p>
        </w:tc>
        <w:tc>
          <w:tcPr/>
          <w:p>
            <w:pPr>
              <w:pStyle w:val="Compact"/>
              <w:jc w:val="right"/>
            </w:pPr>
            <w:r>
              <w:t xml:space="preserve">2,109</w:t>
            </w:r>
          </w:p>
        </w:tc>
        <w:tc>
          <w:tcPr/>
          <w:p>
            <w:pPr>
              <w:pStyle w:val="Compact"/>
              <w:jc w:val="right"/>
            </w:pPr>
            <w:r>
              <w:t xml:space="preserve">0.3581</w:t>
            </w:r>
          </w:p>
        </w:tc>
        <w:tc>
          <w:tcPr/>
          <w:p>
            <w:pPr>
              <w:pStyle w:val="Compact"/>
              <w:jc w:val="right"/>
            </w:pPr>
            <w:r>
              <w:t xml:space="preserve">0.3645</w:t>
            </w:r>
          </w:p>
        </w:tc>
        <w:tc>
          <w:tcPr/>
          <w:p>
            <w:pPr>
              <w:pStyle w:val="Compact"/>
              <w:jc w:val="right"/>
            </w:pPr>
            <w:r>
              <w:t xml:space="preserve">+1.8</w:t>
            </w:r>
          </w:p>
        </w:tc>
        <w:tc>
          <w:tcPr/>
          <w:p>
            <w:pPr>
              <w:pStyle w:val="Compact"/>
              <w:jc w:val="right"/>
            </w:pPr>
            <w:r>
              <w:t xml:space="preserve">0.062</w:t>
            </w:r>
          </w:p>
        </w:tc>
      </w:tr>
      <w:tr>
        <w:tc>
          <w:tcPr/>
          <w:p>
            <w:pPr>
              <w:pStyle w:val="Compact"/>
              <w:jc w:val="left"/>
            </w:pPr>
            <w:r>
              <w:t xml:space="preserve">Sensex</w:t>
            </w:r>
          </w:p>
        </w:tc>
        <w:tc>
          <w:tcPr/>
          <w:p>
            <w:pPr>
              <w:pStyle w:val="Compact"/>
              <w:jc w:val="right"/>
            </w:pPr>
            <w:r>
              <w:t xml:space="preserve">2,105</w:t>
            </w:r>
          </w:p>
        </w:tc>
        <w:tc>
          <w:tcPr/>
          <w:p>
            <w:pPr>
              <w:pStyle w:val="Compact"/>
              <w:jc w:val="right"/>
            </w:pPr>
            <w:r>
              <w:t xml:space="preserve">0.3756</w:t>
            </w:r>
          </w:p>
        </w:tc>
        <w:tc>
          <w:tcPr/>
          <w:p>
            <w:pPr>
              <w:pStyle w:val="Compact"/>
              <w:jc w:val="right"/>
            </w:pPr>
            <w:r>
              <w:t xml:space="preserve">0.3792</w:t>
            </w:r>
          </w:p>
        </w:tc>
        <w:tc>
          <w:tcPr/>
          <w:p>
            <w:pPr>
              <w:pStyle w:val="Compact"/>
              <w:jc w:val="right"/>
            </w:pPr>
            <w:r>
              <w:t xml:space="preserve">+1.0</w:t>
            </w:r>
          </w:p>
        </w:tc>
        <w:tc>
          <w:tcPr/>
          <w:p>
            <w:pPr>
              <w:pStyle w:val="Compact"/>
              <w:jc w:val="right"/>
            </w:pPr>
            <w:r>
              <w:t xml:space="preserve">0.013</w:t>
            </w:r>
          </w:p>
        </w:tc>
      </w:tr>
      <w:tr>
        <w:tc>
          <w:tcPr/>
          <w:p>
            <w:pPr>
              <w:pStyle w:val="Compact"/>
              <w:jc w:val="left"/>
            </w:pPr>
            <w:r>
              <w:t xml:space="preserve">Midcap 50</w:t>
            </w:r>
          </w:p>
        </w:tc>
        <w:tc>
          <w:tcPr/>
          <w:p>
            <w:pPr>
              <w:pStyle w:val="Compact"/>
              <w:jc w:val="right"/>
            </w:pPr>
            <w:r>
              <w:t xml:space="preserve">2,100</w:t>
            </w:r>
          </w:p>
        </w:tc>
        <w:tc>
          <w:tcPr/>
          <w:p>
            <w:pPr>
              <w:pStyle w:val="Compact"/>
              <w:jc w:val="right"/>
            </w:pPr>
            <w:r>
              <w:t xml:space="preserve">0.3468</w:t>
            </w:r>
          </w:p>
        </w:tc>
        <w:tc>
          <w:tcPr/>
          <w:p>
            <w:pPr>
              <w:pStyle w:val="Compact"/>
              <w:jc w:val="right"/>
            </w:pPr>
            <w:r>
              <w:t xml:space="preserve">0.3474</w:t>
            </w:r>
          </w:p>
        </w:tc>
        <w:tc>
          <w:tcPr/>
          <w:p>
            <w:pPr>
              <w:pStyle w:val="Compact"/>
              <w:jc w:val="right"/>
            </w:pPr>
            <w:r>
              <w:t xml:space="preserve">+0.2</w:t>
            </w:r>
          </w:p>
        </w:tc>
        <w:tc>
          <w:tcPr/>
          <w:p>
            <w:pPr>
              <w:pStyle w:val="Compact"/>
              <w:jc w:val="right"/>
            </w:pPr>
            <w:r>
              <w:t xml:space="preserve">0.803</w:t>
            </w:r>
          </w:p>
        </w:tc>
      </w:tr>
    </w:tbl>
    <w:p>
      <w:pPr>
        <w:pStyle w:val="BodyText"/>
      </w:pPr>
      <w:r>
        <w:rPr>
          <w:iCs/>
          <w:i/>
        </w:rPr>
        <w:t xml:space="preserve">Note.</w:t>
      </w:r>
      <w:r>
        <w:t xml:space="preserve"> </w:t>
      </w:r>
      <w:r>
        <w:t xml:space="preserve">Walk-forward forecasts of next-day close-to-close variance from January 2018 to July 2026, with an expanding estimation window re-fitted every 22 trading days. The HAR model</w:t>
      </w:r>
      <w:r>
        <w:t xml:space="preserve"> </w:t>
      </w:r>
      <w:r>
        <w:t xml:space="preserve">(Corsi, 2009)</w:t>
      </w:r>
      <w:r>
        <w:t xml:space="preserve"> </w:t>
      </w:r>
      <w:r>
        <w:t xml:space="preserve">uses log variance over the last day, week and month and the calendar days to the next session, and is estimated with the Gamma loss, which is consistent with the QLIKE criterion</w:t>
      </w:r>
      <w:r>
        <w:t xml:space="preserve"> </w:t>
      </w:r>
      <w:r>
        <w:t xml:space="preserve">(Patton, 2011)</w:t>
      </w:r>
      <w:r>
        <w:t xml:space="preserve">. Diebold–Mariano tests</w:t>
      </w:r>
      <w:r>
        <w:t xml:space="preserve"> </w:t>
      </w:r>
      <w:r>
        <w:t xml:space="preserve">(Diebold &amp; Mariano, 1995)</w:t>
      </w:r>
      <w:r>
        <w:t xml:space="preserve"> </w:t>
      </w:r>
      <w:r>
        <w:t xml:space="preserve">use Newey–West standard errors.</w:t>
      </w:r>
      <w:r>
        <w:t xml:space="preserve"> </w:t>
      </w:r>
      <w:r>
        <w:t xml:space="preserve">“</w:t>
      </w:r>
      <w:r>
        <w:t xml:space="preserve">+ calendar</w:t>
      </w:r>
      <w:r>
        <w:t xml:space="preserve">”</w:t>
      </w:r>
      <w:r>
        <w:t xml:space="preserve"> </w:t>
      </w:r>
      <w:r>
        <w:t xml:space="preserve">adds the next day’s own weekly, own monthly and other-large-index expiry indicators, which are known in advance. Lower QLIKE is better.</w:t>
      </w:r>
    </w:p>
    <w:bookmarkEnd w:id="25"/>
    <w:bookmarkStart w:id="26" w:name="s7.-the-closing-auction-a-first-look"/>
    <w:p>
      <w:pPr>
        <w:pStyle w:val="Heading1"/>
      </w:pPr>
      <w:r>
        <w:t xml:space="preserve">S7. The closing auction: a first look</w:t>
      </w:r>
    </w:p>
    <w:p>
      <w:pPr>
        <w:pStyle w:val="FirstParagraph"/>
      </w:pPr>
      <w:r>
        <w:rPr>
          <w:bCs/>
          <w:b/>
        </w:rPr>
        <w:t xml:space="preserve">Table S7.</w:t>
      </w:r>
      <w:r>
        <w:t xml:space="preserve"> </w:t>
      </w:r>
      <w:r>
        <w:t xml:space="preserve">Expiry effects in the hourly bar starting at 15:15 (the last bar of the session), before and after the closing auction</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Own expiry</w:t>
            </w:r>
          </w:p>
        </w:tc>
        <w:tc>
          <w:tcPr/>
          <w:p>
            <w:pPr>
              <w:pStyle w:val="Compact"/>
              <w:jc w:val="right"/>
            </w:pPr>
            <w:r>
              <w:t xml:space="preserve">Another large index expires</w:t>
            </w:r>
          </w:p>
        </w:tc>
        <w:tc>
          <w:tcPr/>
          <w:p>
            <w:pPr>
              <w:pStyle w:val="Compact"/>
              <w:jc w:val="right"/>
            </w:pPr>
            <w:r>
              <w:t xml:space="preserve">Own expiry × after 3 Aug 2026</w:t>
            </w:r>
          </w:p>
        </w:tc>
        <w:tc>
          <w:tcPr/>
          <w:p>
            <w:pPr>
              <w:pStyle w:val="Compact"/>
              <w:jc w:val="right"/>
            </w:pPr>
            <w:r>
              <w:t xml:space="preserve">Expiry days after</w:t>
            </w:r>
          </w:p>
        </w:tc>
      </w:tr>
      <w:tr>
        <w:tc>
          <w:tcPr/>
          <w:p>
            <w:pPr>
              <w:pStyle w:val="Compact"/>
              <w:jc w:val="left"/>
            </w:pPr>
            <w:r>
              <w:t xml:space="preserve">All</w:t>
            </w:r>
          </w:p>
        </w:tc>
        <w:tc>
          <w:tcPr/>
          <w:p>
            <w:pPr>
              <w:pStyle w:val="Compact"/>
              <w:jc w:val="right"/>
            </w:pPr>
            <w:r>
              <w:t xml:space="preserve">0.38***</w:t>
            </w:r>
          </w:p>
        </w:tc>
        <w:tc>
          <w:tcPr/>
          <w:p>
            <w:pPr>
              <w:pStyle w:val="Compact"/>
              <w:jc w:val="right"/>
            </w:pPr>
            <w:r>
              <w:t xml:space="preserve">0.21***</w:t>
            </w:r>
          </w:p>
        </w:tc>
        <w:tc>
          <w:tcPr/>
          <w:p>
            <w:pPr>
              <w:pStyle w:val="Compact"/>
              <w:jc w:val="right"/>
            </w:pPr>
            <w:r>
              <w:t xml:space="preserve">0.99**</w:t>
            </w:r>
          </w:p>
        </w:tc>
        <w:tc>
          <w:tcPr/>
          <w:p>
            <w:pPr>
              <w:pStyle w:val="Compact"/>
              <w:jc w:val="right"/>
            </w:pPr>
            <w:r>
              <w:t xml:space="preserve">21</w:t>
            </w:r>
          </w:p>
        </w:tc>
      </w:tr>
      <w:tr>
        <w:tc>
          <w:tcPr/>
          <w:p>
            <w:pPr>
              <w:pStyle w:val="Compact"/>
            </w:pPr>
          </w:p>
        </w:tc>
        <w:tc>
          <w:tcPr/>
          <w:p>
            <w:pPr>
              <w:pStyle w:val="Compact"/>
              <w:jc w:val="right"/>
            </w:pPr>
            <w:r>
              <w:t xml:space="preserve">(0.08)</w:t>
            </w:r>
          </w:p>
        </w:tc>
        <w:tc>
          <w:tcPr/>
          <w:p>
            <w:pPr>
              <w:pStyle w:val="Compact"/>
              <w:jc w:val="right"/>
            </w:pPr>
            <w:r>
              <w:t xml:space="preserve">(0.07)</w:t>
            </w:r>
          </w:p>
        </w:tc>
        <w:tc>
          <w:tcPr/>
          <w:p>
            <w:pPr>
              <w:pStyle w:val="Compact"/>
              <w:jc w:val="right"/>
            </w:pPr>
            <w:r>
              <w:t xml:space="preserve">(0.41)</w:t>
            </w:r>
          </w:p>
        </w:tc>
        <w:tc>
          <w:tcPr/>
          <w:p>
            <w:pPr>
              <w:pStyle w:val="Compact"/>
            </w:pPr>
          </w:p>
        </w:tc>
      </w:tr>
      <w:tr>
        <w:tc>
          <w:tcPr/>
          <w:p>
            <w:pPr>
              <w:pStyle w:val="Compact"/>
              <w:jc w:val="left"/>
            </w:pPr>
            <w:r>
              <w:t xml:space="preserve">Nifty 50</w:t>
            </w:r>
          </w:p>
        </w:tc>
        <w:tc>
          <w:tcPr/>
          <w:p>
            <w:pPr>
              <w:pStyle w:val="Compact"/>
              <w:jc w:val="right"/>
            </w:pPr>
            <w:r>
              <w:t xml:space="preserve">0.44***</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10</w:t>
            </w:r>
          </w:p>
        </w:tc>
      </w:tr>
      <w:tr>
        <w:tc>
          <w:tcPr/>
          <w:p>
            <w:pPr>
              <w:pStyle w:val="Compact"/>
            </w:pPr>
          </w:p>
        </w:tc>
        <w:tc>
          <w:tcPr/>
          <w:p>
            <w:pPr>
              <w:pStyle w:val="Compact"/>
              <w:jc w:val="right"/>
            </w:pPr>
            <w:r>
              <w:t xml:space="preserve">(0.10)</w:t>
            </w:r>
          </w:p>
        </w:tc>
        <w:tc>
          <w:tcPr/>
          <w:p>
            <w:pPr>
              <w:pStyle w:val="Compact"/>
              <w:jc w:val="right"/>
            </w:pPr>
            <w:r>
              <w:t xml:space="preserve">(0.07)</w:t>
            </w:r>
          </w:p>
        </w:tc>
        <w:tc>
          <w:tcPr/>
          <w:p>
            <w:pPr>
              <w:pStyle w:val="Compact"/>
              <w:jc w:val="right"/>
            </w:pPr>
            <w:r>
              <w:t xml:space="preserve">(0.74)</w:t>
            </w:r>
          </w:p>
        </w:tc>
        <w:tc>
          <w:tcPr/>
          <w:p>
            <w:pPr>
              <w:pStyle w:val="Compact"/>
            </w:pPr>
          </w:p>
        </w:tc>
      </w:tr>
      <w:tr>
        <w:tc>
          <w:tcPr/>
          <w:p>
            <w:pPr>
              <w:pStyle w:val="Compact"/>
              <w:jc w:val="left"/>
            </w:pPr>
            <w:r>
              <w:t xml:space="preserve">Bank Nifty</w:t>
            </w:r>
          </w:p>
        </w:tc>
        <w:tc>
          <w:tcPr/>
          <w:p>
            <w:pPr>
              <w:pStyle w:val="Compact"/>
              <w:jc w:val="right"/>
            </w:pPr>
            <w:r>
              <w:t xml:space="preserve">0.61***</w:t>
            </w:r>
          </w:p>
        </w:tc>
        <w:tc>
          <w:tcPr/>
          <w:p>
            <w:pPr>
              <w:pStyle w:val="Compact"/>
              <w:jc w:val="right"/>
            </w:pPr>
            <w:r>
              <w:t xml:space="preserve">0.13</w:t>
            </w:r>
          </w:p>
        </w:tc>
        <w:tc>
          <w:tcPr/>
          <w:p>
            <w:pPr>
              <w:pStyle w:val="Compact"/>
              <w:jc w:val="right"/>
            </w:pPr>
            <w:r>
              <w:t xml:space="preserve">0.35</w:t>
            </w:r>
          </w:p>
        </w:tc>
        <w:tc>
          <w:tcPr/>
          <w:p>
            <w:pPr>
              <w:pStyle w:val="Compact"/>
              <w:jc w:val="right"/>
            </w:pPr>
            <w:r>
              <w:t xml:space="preserve">2</w:t>
            </w:r>
          </w:p>
        </w:tc>
      </w:tr>
      <w:tr>
        <w:tc>
          <w:tcPr/>
          <w:p>
            <w:pPr>
              <w:pStyle w:val="Compact"/>
            </w:pPr>
          </w:p>
        </w:tc>
        <w:tc>
          <w:tcPr/>
          <w:p>
            <w:pPr>
              <w:pStyle w:val="Compact"/>
              <w:jc w:val="right"/>
            </w:pPr>
            <w:r>
              <w:t xml:space="preserve">(0.10)</w:t>
            </w:r>
          </w:p>
        </w:tc>
        <w:tc>
          <w:tcPr/>
          <w:p>
            <w:pPr>
              <w:pStyle w:val="Compact"/>
              <w:jc w:val="right"/>
            </w:pPr>
            <w:r>
              <w:t xml:space="preserve">(0.10)</w:t>
            </w:r>
          </w:p>
        </w:tc>
        <w:tc>
          <w:tcPr/>
          <w:p>
            <w:pPr>
              <w:pStyle w:val="Compact"/>
              <w:jc w:val="right"/>
            </w:pPr>
            <w:r>
              <w:t xml:space="preserve">(1.30)</w:t>
            </w:r>
          </w:p>
        </w:tc>
        <w:tc>
          <w:tcPr/>
          <w:p>
            <w:pPr>
              <w:pStyle w:val="Compact"/>
            </w:pPr>
          </w:p>
        </w:tc>
      </w:tr>
      <w:tr>
        <w:tc>
          <w:tcPr/>
          <w:p>
            <w:pPr>
              <w:pStyle w:val="Compact"/>
              <w:jc w:val="left"/>
            </w:pPr>
            <w:r>
              <w:t xml:space="preserve">Sensex</w:t>
            </w:r>
          </w:p>
        </w:tc>
        <w:tc>
          <w:tcPr/>
          <w:p>
            <w:pPr>
              <w:pStyle w:val="Compact"/>
              <w:jc w:val="right"/>
            </w:pPr>
            <w:r>
              <w:t xml:space="preserve">0.22</w:t>
            </w:r>
          </w:p>
        </w:tc>
        <w:tc>
          <w:tcPr/>
          <w:p>
            <w:pPr>
              <w:pStyle w:val="Compact"/>
              <w:jc w:val="right"/>
            </w:pPr>
            <w:r>
              <w:t xml:space="preserve">0.17</w:t>
            </w:r>
          </w:p>
        </w:tc>
        <w:tc>
          <w:tcPr/>
          <w:p>
            <w:pPr>
              <w:pStyle w:val="Compact"/>
              <w:jc w:val="right"/>
            </w:pPr>
            <w:r>
              <w:t xml:space="preserve">1.97***</w:t>
            </w:r>
          </w:p>
        </w:tc>
        <w:tc>
          <w:tcPr/>
          <w:p>
            <w:pPr>
              <w:pStyle w:val="Compact"/>
              <w:jc w:val="right"/>
            </w:pPr>
            <w:r>
              <w:t xml:space="preserve">9</w:t>
            </w:r>
          </w:p>
        </w:tc>
      </w:tr>
      <w:tr>
        <w:tc>
          <w:tcPr/>
          <w:p>
            <w:pPr>
              <w:pStyle w:val="Compact"/>
            </w:pPr>
          </w:p>
        </w:tc>
        <w:tc>
          <w:tcPr/>
          <w:p>
            <w:pPr>
              <w:pStyle w:val="Compact"/>
              <w:jc w:val="right"/>
            </w:pPr>
            <w:r>
              <w:t xml:space="preserve">(0.16)</w:t>
            </w:r>
          </w:p>
        </w:tc>
        <w:tc>
          <w:tcPr/>
          <w:p>
            <w:pPr>
              <w:pStyle w:val="Compact"/>
              <w:jc w:val="right"/>
            </w:pPr>
            <w:r>
              <w:t xml:space="preserve">(0.14)</w:t>
            </w:r>
          </w:p>
        </w:tc>
        <w:tc>
          <w:tcPr/>
          <w:p>
            <w:pPr>
              <w:pStyle w:val="Compact"/>
              <w:jc w:val="right"/>
            </w:pPr>
            <w:r>
              <w:t xml:space="preserve">(0.74)</w:t>
            </w:r>
          </w:p>
        </w:tc>
        <w:tc>
          <w:tcPr/>
          <w:p>
            <w:pPr>
              <w:pStyle w:val="Compact"/>
            </w:pPr>
          </w:p>
        </w:tc>
      </w:tr>
    </w:tbl>
    <w:p>
      <w:pPr>
        <w:pStyle w:val="BodyText"/>
      </w:pPr>
      <w:r>
        <w:rPr>
          <w:iCs/>
          <w:i/>
        </w:rPr>
        <w:t xml:space="preserve">Note.</w:t>
      </w:r>
      <w:r>
        <w:t xml:space="preserve"> </w:t>
      </w:r>
      <w:r>
        <w:t xml:space="preserve">Log Parkinson variance of the hourly bar starting at 15:15, October 2023 – September 2026 (Yahoo Finance).</w:t>
      </w:r>
      <w:r>
        <w:t xml:space="preserve"> </w:t>
      </w:r>
      <w:r>
        <w:t xml:space="preserve">“</w:t>
      </w:r>
      <w:r>
        <w:t xml:space="preserve">After 3 Aug 2026</w:t>
      </w:r>
      <w:r>
        <w:t xml:space="preserve">”</w:t>
      </w:r>
      <w:r>
        <w:t xml:space="preserve"> </w:t>
      </w:r>
      <w:r>
        <w:t xml:space="preserve">covers about two months. The hourly bar may not capture the auction price itself, and few expiry days fall after the change, so the test has little power.</w:t>
      </w:r>
    </w:p>
    <w:bookmarkEnd w:id="26"/>
    <w:bookmarkStart w:id="27" w:name="s8.-total-weekly-volatility"/>
    <w:p>
      <w:pPr>
        <w:pStyle w:val="Heading1"/>
      </w:pPr>
      <w:r>
        <w:t xml:space="preserve">S8. Total weekly volatility</w:t>
      </w:r>
    </w:p>
    <w:p>
      <w:pPr>
        <w:pStyle w:val="FirstParagraph"/>
      </w:pPr>
      <w:r>
        <w:rPr>
          <w:bCs/>
          <w:b/>
        </w:rPr>
        <w:t xml:space="preserve">Table S8.</w:t>
      </w:r>
      <w:r>
        <w:t xml:space="preserve"> </w:t>
      </w:r>
      <w:r>
        <w:t xml:space="preserve">Weekly options and total weekly variance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right"/>
            </w:pPr>
            <w:r>
              <w:t xml:space="preserve">Weekly-options regime</w:t>
            </w:r>
          </w:p>
        </w:tc>
        <w:tc>
          <w:tcPr/>
          <w:p>
            <w:pPr>
              <w:pStyle w:val="Compact"/>
              <w:jc w:val="right"/>
            </w:pPr>
            <w:r>
              <w:rPr>
                <w:iCs/>
                <w:i/>
              </w:rPr>
              <w:t xml:space="preserve">p</w:t>
            </w:r>
          </w:p>
        </w:tc>
        <w:tc>
          <w:tcPr/>
          <w:p>
            <w:pPr>
              <w:pStyle w:val="Compact"/>
              <w:jc w:val="right"/>
            </w:pPr>
            <w:r>
              <w:t xml:space="preserve">Index-weeks</w:t>
            </w:r>
          </w:p>
        </w:tc>
      </w:tr>
      <w:tr>
        <w:tc>
          <w:tcPr/>
          <w:p>
            <w:pPr>
              <w:pStyle w:val="Compact"/>
              <w:jc w:val="left"/>
            </w:pPr>
            <w:r>
              <w:t xml:space="preserve">close-to-close</w:t>
            </w:r>
          </w:p>
        </w:tc>
        <w:tc>
          <w:tcPr/>
          <w:p>
            <w:pPr>
              <w:pStyle w:val="Compact"/>
              <w:jc w:val="right"/>
            </w:pPr>
            <w:r>
              <w:t xml:space="preserve">0.054</w:t>
            </w:r>
          </w:p>
        </w:tc>
        <w:tc>
          <w:tcPr/>
          <w:p>
            <w:pPr>
              <w:pStyle w:val="Compact"/>
              <w:jc w:val="right"/>
            </w:pPr>
            <w:r>
              <w:t xml:space="preserve">0.002</w:t>
            </w:r>
          </w:p>
        </w:tc>
        <w:tc>
          <w:tcPr/>
          <w:p>
            <w:pPr>
              <w:pStyle w:val="Compact"/>
              <w:jc w:val="right"/>
            </w:pPr>
            <w:r>
              <w:t xml:space="preserve">2,510</w:t>
            </w:r>
          </w:p>
        </w:tc>
      </w:tr>
      <w:tr>
        <w:tc>
          <w:tcPr/>
          <w:p>
            <w:pPr>
              <w:pStyle w:val="Compact"/>
            </w:pPr>
          </w:p>
        </w:tc>
        <w:tc>
          <w:tcPr/>
          <w:p>
            <w:pPr>
              <w:pStyle w:val="Compact"/>
              <w:jc w:val="right"/>
            </w:pPr>
            <w:r>
              <w:t xml:space="preserve">(0.017)</w:t>
            </w:r>
          </w:p>
        </w:tc>
        <w:tc>
          <w:tcPr/>
          <w:p>
            <w:pPr>
              <w:pStyle w:val="Compact"/>
            </w:pPr>
          </w:p>
        </w:tc>
        <w:tc>
          <w:tcPr/>
          <w:p>
            <w:pPr>
              <w:pStyle w:val="Compact"/>
            </w:pPr>
          </w:p>
        </w:tc>
      </w:tr>
      <w:tr>
        <w:tc>
          <w:tcPr/>
          <w:p>
            <w:pPr>
              <w:pStyle w:val="Compact"/>
              <w:jc w:val="left"/>
            </w:pPr>
            <w:r>
              <w:t xml:space="preserve">session (Garman-Klass)</w:t>
            </w:r>
          </w:p>
        </w:tc>
        <w:tc>
          <w:tcPr/>
          <w:p>
            <w:pPr>
              <w:pStyle w:val="Compact"/>
              <w:jc w:val="right"/>
            </w:pPr>
            <w:r>
              <w:t xml:space="preserve">0.056</w:t>
            </w:r>
          </w:p>
        </w:tc>
        <w:tc>
          <w:tcPr/>
          <w:p>
            <w:pPr>
              <w:pStyle w:val="Compact"/>
              <w:jc w:val="right"/>
            </w:pPr>
            <w:r>
              <w:t xml:space="preserve">0.001</w:t>
            </w:r>
          </w:p>
        </w:tc>
        <w:tc>
          <w:tcPr/>
          <w:p>
            <w:pPr>
              <w:pStyle w:val="Compact"/>
              <w:jc w:val="right"/>
            </w:pPr>
            <w:r>
              <w:t xml:space="preserve">2,510</w:t>
            </w:r>
          </w:p>
        </w:tc>
      </w:tr>
      <w:tr>
        <w:tc>
          <w:tcPr/>
          <w:p>
            <w:pPr>
              <w:pStyle w:val="Compact"/>
            </w:pPr>
          </w:p>
        </w:tc>
        <w:tc>
          <w:tcPr/>
          <w:p>
            <w:pPr>
              <w:pStyle w:val="Compact"/>
              <w:jc w:val="right"/>
            </w:pPr>
            <w:r>
              <w:t xml:space="preserve">(0.017)</w:t>
            </w:r>
          </w:p>
        </w:tc>
        <w:tc>
          <w:tcPr/>
          <w:p>
            <w:pPr>
              <w:pStyle w:val="Compact"/>
            </w:pPr>
          </w:p>
        </w:tc>
        <w:tc>
          <w:tcPr/>
          <w:p>
            <w:pPr>
              <w:pStyle w:val="Compact"/>
            </w:pPr>
          </w:p>
        </w:tc>
      </w:tr>
      <w:tr>
        <w:tc>
          <w:tcPr/>
          <w:p>
            <w:pPr>
              <w:pStyle w:val="Compact"/>
              <w:jc w:val="left"/>
            </w:pPr>
            <w:r>
              <w:t xml:space="preserve">close-to-close, + index-specific trends</w:t>
            </w:r>
          </w:p>
        </w:tc>
        <w:tc>
          <w:tcPr/>
          <w:p>
            <w:pPr>
              <w:pStyle w:val="Compact"/>
              <w:jc w:val="right"/>
            </w:pPr>
            <w:r>
              <w:t xml:space="preserve">−0.018</w:t>
            </w:r>
          </w:p>
        </w:tc>
        <w:tc>
          <w:tcPr/>
          <w:p>
            <w:pPr>
              <w:pStyle w:val="Compact"/>
              <w:jc w:val="right"/>
            </w:pPr>
            <w:r>
              <w:t xml:space="preserve">0.299</w:t>
            </w:r>
          </w:p>
        </w:tc>
        <w:tc>
          <w:tcPr/>
          <w:p>
            <w:pPr>
              <w:pStyle w:val="Compact"/>
              <w:jc w:val="right"/>
            </w:pPr>
            <w:r>
              <w:t xml:space="preserve">2,510</w:t>
            </w:r>
          </w:p>
        </w:tc>
      </w:tr>
      <w:tr>
        <w:tc>
          <w:tcPr/>
          <w:p>
            <w:pPr>
              <w:pStyle w:val="Compact"/>
            </w:pPr>
          </w:p>
        </w:tc>
        <w:tc>
          <w:tcPr/>
          <w:p>
            <w:pPr>
              <w:pStyle w:val="Compact"/>
              <w:jc w:val="right"/>
            </w:pPr>
            <w:r>
              <w:t xml:space="preserve">(0.017)</w:t>
            </w:r>
          </w:p>
        </w:tc>
        <w:tc>
          <w:tcPr/>
          <w:p>
            <w:pPr>
              <w:pStyle w:val="Compact"/>
            </w:pPr>
          </w:p>
        </w:tc>
        <w:tc>
          <w:tcPr/>
          <w:p>
            <w:pPr>
              <w:pStyle w:val="Compact"/>
            </w:pPr>
          </w:p>
        </w:tc>
      </w:tr>
    </w:tbl>
    <w:p>
      <w:pPr>
        <w:pStyle w:val="BodyText"/>
      </w:pPr>
      <w:r>
        <w:rPr>
          <w:iCs/>
          <w:i/>
        </w:rPr>
        <w:t xml:space="preserve">Note.</w:t>
      </w:r>
      <w:r>
        <w:t xml:space="preserve"> </w:t>
      </w:r>
      <w:r>
        <w:t xml:space="preserve">Index-week panel. The outcome is the log of average daily variance in the week; the regressor indicates that the index’s own options had weekly contracts. Index and week fixed effects; the last row adds index-specific linear trends.</w:t>
      </w:r>
    </w:p>
    <w:bookmarkEnd w:id="27"/>
    <w:bookmarkStart w:id="28" w:name="s9.-expiry-day-option-trading"/>
    <w:p>
      <w:pPr>
        <w:pStyle w:val="Heading1"/>
      </w:pPr>
      <w:r>
        <w:t xml:space="preserve">S9. Expiry-day option trading</w:t>
      </w:r>
    </w:p>
    <w:p>
      <w:pPr>
        <w:pStyle w:val="FirstParagraph"/>
      </w:pPr>
      <w:r>
        <w:rPr>
          <w:bCs/>
          <w:b/>
        </w:rPr>
        <w:t xml:space="preserve">Table S9.</w:t>
      </w:r>
      <w:r>
        <w:t xml:space="preserve"> </w:t>
      </w:r>
      <w:r>
        <w:t xml:space="preserve">Share of each year’s option contracts traded on expiry day in the expiring series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right"/>
            </w:pPr>
            <w:r>
              <w:t xml:space="preserve">Nifty 50</w:t>
            </w:r>
          </w:p>
        </w:tc>
        <w:tc>
          <w:tcPr/>
          <w:p>
            <w:pPr>
              <w:pStyle w:val="Compact"/>
              <w:jc w:val="right"/>
            </w:pPr>
            <w:r>
              <w:t xml:space="preserve">Bank Nifty</w:t>
            </w:r>
          </w:p>
        </w:tc>
      </w:tr>
      <w:tr>
        <w:tc>
          <w:tcPr/>
          <w:p>
            <w:pPr>
              <w:pStyle w:val="Compact"/>
              <w:jc w:val="left"/>
            </w:pPr>
            <w:r>
              <w:t xml:space="preserve">2014</w:t>
            </w:r>
          </w:p>
        </w:tc>
        <w:tc>
          <w:tcPr/>
          <w:p>
            <w:pPr>
              <w:pStyle w:val="Compact"/>
              <w:jc w:val="right"/>
            </w:pPr>
            <w:r>
              <w:t xml:space="preserve">9.1</w:t>
            </w:r>
          </w:p>
        </w:tc>
        <w:tc>
          <w:tcPr/>
          <w:p>
            <w:pPr>
              <w:pStyle w:val="Compact"/>
              <w:jc w:val="right"/>
            </w:pPr>
            <w:r>
              <w:t xml:space="preserve">13.7</w:t>
            </w:r>
          </w:p>
        </w:tc>
      </w:tr>
      <w:tr>
        <w:tc>
          <w:tcPr/>
          <w:p>
            <w:pPr>
              <w:pStyle w:val="Compact"/>
              <w:jc w:val="left"/>
            </w:pPr>
            <w:r>
              <w:t xml:space="preserve">2015</w:t>
            </w:r>
          </w:p>
        </w:tc>
        <w:tc>
          <w:tcPr/>
          <w:p>
            <w:pPr>
              <w:pStyle w:val="Compact"/>
              <w:jc w:val="right"/>
            </w:pPr>
            <w:r>
              <w:t xml:space="preserve">9.3</w:t>
            </w:r>
          </w:p>
        </w:tc>
        <w:tc>
          <w:tcPr/>
          <w:p>
            <w:pPr>
              <w:pStyle w:val="Compact"/>
              <w:jc w:val="right"/>
            </w:pPr>
            <w:r>
              <w:t xml:space="preserve">12.7</w:t>
            </w:r>
          </w:p>
        </w:tc>
      </w:tr>
      <w:tr>
        <w:tc>
          <w:tcPr/>
          <w:p>
            <w:pPr>
              <w:pStyle w:val="Compact"/>
              <w:jc w:val="left"/>
            </w:pPr>
            <w:r>
              <w:t xml:space="preserve">2016</w:t>
            </w:r>
          </w:p>
        </w:tc>
        <w:tc>
          <w:tcPr/>
          <w:p>
            <w:pPr>
              <w:pStyle w:val="Compact"/>
              <w:jc w:val="right"/>
            </w:pPr>
            <w:r>
              <w:t xml:space="preserve">10.5</w:t>
            </w:r>
          </w:p>
        </w:tc>
        <w:tc>
          <w:tcPr/>
          <w:p>
            <w:pPr>
              <w:pStyle w:val="Compact"/>
              <w:jc w:val="right"/>
            </w:pPr>
            <w:r>
              <w:t xml:space="preserve">34.3</w:t>
            </w:r>
          </w:p>
        </w:tc>
      </w:tr>
      <w:tr>
        <w:tc>
          <w:tcPr/>
          <w:p>
            <w:pPr>
              <w:pStyle w:val="Compact"/>
              <w:jc w:val="left"/>
            </w:pPr>
            <w:r>
              <w:t xml:space="preserve">2017</w:t>
            </w:r>
          </w:p>
        </w:tc>
        <w:tc>
          <w:tcPr/>
          <w:p>
            <w:pPr>
              <w:pStyle w:val="Compact"/>
              <w:jc w:val="right"/>
            </w:pPr>
            <w:r>
              <w:t xml:space="preserve">11.1</w:t>
            </w:r>
          </w:p>
        </w:tc>
        <w:tc>
          <w:tcPr/>
          <w:p>
            <w:pPr>
              <w:pStyle w:val="Compact"/>
              <w:jc w:val="right"/>
            </w:pPr>
            <w:r>
              <w:t xml:space="preserve">41.5</w:t>
            </w:r>
          </w:p>
        </w:tc>
      </w:tr>
      <w:tr>
        <w:tc>
          <w:tcPr/>
          <w:p>
            <w:pPr>
              <w:pStyle w:val="Compact"/>
              <w:jc w:val="left"/>
            </w:pPr>
            <w:r>
              <w:t xml:space="preserve">2018</w:t>
            </w:r>
          </w:p>
        </w:tc>
        <w:tc>
          <w:tcPr/>
          <w:p>
            <w:pPr>
              <w:pStyle w:val="Compact"/>
              <w:jc w:val="right"/>
            </w:pPr>
            <w:r>
              <w:t xml:space="preserve">10.0</w:t>
            </w:r>
          </w:p>
        </w:tc>
        <w:tc>
          <w:tcPr/>
          <w:p>
            <w:pPr>
              <w:pStyle w:val="Compact"/>
              <w:jc w:val="right"/>
            </w:pPr>
            <w:r>
              <w:t xml:space="preserve">43.7</w:t>
            </w:r>
          </w:p>
        </w:tc>
      </w:tr>
      <w:tr>
        <w:tc>
          <w:tcPr/>
          <w:p>
            <w:pPr>
              <w:pStyle w:val="Compact"/>
              <w:jc w:val="left"/>
            </w:pPr>
            <w:r>
              <w:t xml:space="preserve">2019</w:t>
            </w:r>
          </w:p>
        </w:tc>
        <w:tc>
          <w:tcPr/>
          <w:p>
            <w:pPr>
              <w:pStyle w:val="Compact"/>
              <w:jc w:val="right"/>
            </w:pPr>
            <w:r>
              <w:t xml:space="preserve">25.4</w:t>
            </w:r>
          </w:p>
        </w:tc>
        <w:tc>
          <w:tcPr/>
          <w:p>
            <w:pPr>
              <w:pStyle w:val="Compact"/>
              <w:jc w:val="right"/>
            </w:pPr>
            <w:r>
              <w:t xml:space="preserve">44.5</w:t>
            </w:r>
          </w:p>
        </w:tc>
      </w:tr>
      <w:tr>
        <w:tc>
          <w:tcPr/>
          <w:p>
            <w:pPr>
              <w:pStyle w:val="Compact"/>
              <w:jc w:val="left"/>
            </w:pPr>
            <w:r>
              <w:t xml:space="preserve">2020</w:t>
            </w:r>
          </w:p>
        </w:tc>
        <w:tc>
          <w:tcPr/>
          <w:p>
            <w:pPr>
              <w:pStyle w:val="Compact"/>
              <w:jc w:val="right"/>
            </w:pPr>
            <w:r>
              <w:t xml:space="preserve">32.8</w:t>
            </w:r>
          </w:p>
        </w:tc>
        <w:tc>
          <w:tcPr/>
          <w:p>
            <w:pPr>
              <w:pStyle w:val="Compact"/>
              <w:jc w:val="right"/>
            </w:pPr>
            <w:r>
              <w:t xml:space="preserve">45.9</w:t>
            </w:r>
          </w:p>
        </w:tc>
      </w:tr>
      <w:tr>
        <w:tc>
          <w:tcPr/>
          <w:p>
            <w:pPr>
              <w:pStyle w:val="Compact"/>
              <w:jc w:val="left"/>
            </w:pPr>
            <w:r>
              <w:t xml:space="preserve">2021</w:t>
            </w:r>
          </w:p>
        </w:tc>
        <w:tc>
          <w:tcPr/>
          <w:p>
            <w:pPr>
              <w:pStyle w:val="Compact"/>
              <w:jc w:val="right"/>
            </w:pPr>
            <w:r>
              <w:t xml:space="preserve">32.0</w:t>
            </w:r>
          </w:p>
        </w:tc>
        <w:tc>
          <w:tcPr/>
          <w:p>
            <w:pPr>
              <w:pStyle w:val="Compact"/>
              <w:jc w:val="right"/>
            </w:pPr>
            <w:r>
              <w:t xml:space="preserve">41.4</w:t>
            </w:r>
          </w:p>
        </w:tc>
      </w:tr>
      <w:tr>
        <w:tc>
          <w:tcPr/>
          <w:p>
            <w:pPr>
              <w:pStyle w:val="Compact"/>
              <w:jc w:val="left"/>
            </w:pPr>
            <w:r>
              <w:t xml:space="preserve">2022</w:t>
            </w:r>
          </w:p>
        </w:tc>
        <w:tc>
          <w:tcPr/>
          <w:p>
            <w:pPr>
              <w:pStyle w:val="Compact"/>
              <w:jc w:val="right"/>
            </w:pPr>
            <w:r>
              <w:t xml:space="preserve">36.0</w:t>
            </w:r>
          </w:p>
        </w:tc>
        <w:tc>
          <w:tcPr/>
          <w:p>
            <w:pPr>
              <w:pStyle w:val="Compact"/>
              <w:jc w:val="right"/>
            </w:pPr>
            <w:r>
              <w:t xml:space="preserve">43.9</w:t>
            </w:r>
          </w:p>
        </w:tc>
      </w:tr>
      <w:tr>
        <w:tc>
          <w:tcPr/>
          <w:p>
            <w:pPr>
              <w:pStyle w:val="Compact"/>
              <w:jc w:val="left"/>
            </w:pPr>
            <w:r>
              <w:t xml:space="preserve">2023</w:t>
            </w:r>
          </w:p>
        </w:tc>
        <w:tc>
          <w:tcPr/>
          <w:p>
            <w:pPr>
              <w:pStyle w:val="Compact"/>
              <w:jc w:val="right"/>
            </w:pPr>
            <w:r>
              <w:t xml:space="preserve">45.3</w:t>
            </w:r>
          </w:p>
        </w:tc>
        <w:tc>
          <w:tcPr/>
          <w:p>
            <w:pPr>
              <w:pStyle w:val="Compact"/>
              <w:jc w:val="right"/>
            </w:pPr>
            <w:r>
              <w:t xml:space="preserve">50.0</w:t>
            </w:r>
          </w:p>
        </w:tc>
      </w:tr>
      <w:tr>
        <w:tc>
          <w:tcPr/>
          <w:p>
            <w:pPr>
              <w:pStyle w:val="Compact"/>
              <w:jc w:val="left"/>
            </w:pPr>
            <w:r>
              <w:t xml:space="preserve">2024</w:t>
            </w:r>
          </w:p>
        </w:tc>
        <w:tc>
          <w:tcPr/>
          <w:p>
            <w:pPr>
              <w:pStyle w:val="Compact"/>
              <w:jc w:val="right"/>
            </w:pPr>
            <w:r>
              <w:t xml:space="preserve">59.0</w:t>
            </w:r>
          </w:p>
        </w:tc>
        <w:tc>
          <w:tcPr/>
          <w:p>
            <w:pPr>
              <w:pStyle w:val="Compact"/>
              <w:jc w:val="right"/>
            </w:pPr>
            <w:r>
              <w:t xml:space="preserve">62.6</w:t>
            </w:r>
          </w:p>
        </w:tc>
      </w:tr>
      <w:tr>
        <w:tc>
          <w:tcPr/>
          <w:p>
            <w:pPr>
              <w:pStyle w:val="Compact"/>
              <w:jc w:val="left"/>
            </w:pPr>
            <w:r>
              <w:t xml:space="preserve">2025</w:t>
            </w:r>
          </w:p>
        </w:tc>
        <w:tc>
          <w:tcPr/>
          <w:p>
            <w:pPr>
              <w:pStyle w:val="Compact"/>
              <w:jc w:val="right"/>
            </w:pPr>
            <w:r>
              <w:t xml:space="preserve">46.5</w:t>
            </w:r>
          </w:p>
        </w:tc>
        <w:tc>
          <w:tcPr/>
          <w:p>
            <w:pPr>
              <w:pStyle w:val="Compact"/>
              <w:jc w:val="right"/>
            </w:pPr>
            <w:r>
              <w:t xml:space="preserve">38.5</w:t>
            </w:r>
          </w:p>
        </w:tc>
      </w:tr>
    </w:tbl>
    <w:p>
      <w:pPr>
        <w:pStyle w:val="BodyText"/>
      </w:pPr>
      <w:r>
        <w:rPr>
          <w:iCs/>
          <w:i/>
        </w:rPr>
        <w:t xml:space="preserve">Source.</w:t>
      </w:r>
      <w:r>
        <w:t xml:space="preserve"> </w:t>
      </w:r>
      <w:r>
        <w:t xml:space="preserve">NSE F&amp;O contract files.</w:t>
      </w:r>
    </w:p>
    <w:bookmarkEnd w:id="28"/>
    <w:bookmarkStart w:id="29" w:name="s10.-additional-robustness-checks"/>
    <w:p>
      <w:pPr>
        <w:pStyle w:val="Heading1"/>
      </w:pPr>
      <w:r>
        <w:t xml:space="preserve">S10. Additional robustness checks</w:t>
      </w:r>
    </w:p>
    <w:p>
      <w:pPr>
        <w:pStyle w:val="FirstParagraph"/>
      </w:pPr>
      <w:r>
        <w:rPr>
          <w:bCs/>
          <w:b/>
        </w:rPr>
        <w:t xml:space="preserve">Table S10.</w:t>
      </w:r>
      <w:r>
        <w:t xml:space="preserve"> </w:t>
      </w:r>
      <w:r>
        <w:t xml:space="preserve">Additional checks of the settlement-window result</w:t>
      </w:r>
    </w:p>
    <w:tbl>
      <w:tblPr>
        <w:tblStyle w:val="Table"/>
        <w:tblW w:type="pct" w:w="5000"/>
        <w:tblLook w:firstRow="1" w:lastRow="0" w:firstColumn="0" w:lastColumn="0" w:noHBand="0" w:noVBand="0" w:val="0020"/>
        <w:jc w:val="start"/>
      </w:tblPr>
      <w:tblGrid>
        <w:gridCol w:w="3922"/>
        <w:gridCol w:w="1659"/>
        <w:gridCol w:w="980"/>
        <w:gridCol w:w="603"/>
        <w:gridCol w:w="754"/>
      </w:tblGrid>
      <w:tr>
        <w:trPr>
          <w:tblHeader w:val="true"/>
        </w:trPr>
        <w:tc>
          <w:tcPr/>
          <w:p>
            <w:pPr>
              <w:pStyle w:val="Compact"/>
              <w:jc w:val="left"/>
            </w:pPr>
            <w:r>
              <w:t xml:space="preserve">Check</w:t>
            </w:r>
          </w:p>
        </w:tc>
        <w:tc>
          <w:tcPr/>
          <w:p>
            <w:pPr>
              <w:pStyle w:val="Compact"/>
              <w:jc w:val="left"/>
            </w:pPr>
            <w:r>
              <w:t xml:space="preserve">Outcome</w:t>
            </w:r>
          </w:p>
        </w:tc>
        <w:tc>
          <w:tcPr/>
          <w:p>
            <w:pPr>
              <w:pStyle w:val="Compact"/>
              <w:jc w:val="right"/>
            </w:pPr>
            <w:r>
              <w:t xml:space="preserve">Coefficient</w:t>
            </w:r>
          </w:p>
        </w:tc>
        <w:tc>
          <w:tcPr/>
          <w:p>
            <w:pPr>
              <w:pStyle w:val="Compact"/>
              <w:jc w:val="right"/>
            </w:pPr>
            <w:r>
              <w:rPr>
                <w:iCs/>
                <w:i/>
              </w:rPr>
              <w:t xml:space="preserve">p</w:t>
            </w:r>
          </w:p>
        </w:tc>
        <w:tc>
          <w:tcPr/>
          <w:p>
            <w:pPr>
              <w:pStyle w:val="Compact"/>
              <w:jc w:val="right"/>
            </w:pPr>
            <w:r>
              <w:t xml:space="preserve">Observations</w:t>
            </w:r>
          </w:p>
        </w:tc>
      </w:tr>
      <w:tr>
        <w:tc>
          <w:tcPr/>
          <w:p>
            <w:pPr>
              <w:pStyle w:val="Compact"/>
              <w:jc w:val="left"/>
            </w:pPr>
            <w:r>
              <w:t xml:space="preserve">stacked events, no control — weekday gaining an expiry</w:t>
            </w:r>
          </w:p>
        </w:tc>
        <w:tc>
          <w:tcPr/>
          <w:p>
            <w:pPr>
              <w:pStyle w:val="Compact"/>
              <w:jc w:val="left"/>
            </w:pPr>
            <w:r>
              <w:t xml:space="preserve">15:00–15:30, 1-min RV</w:t>
            </w:r>
          </w:p>
        </w:tc>
        <w:tc>
          <w:tcPr/>
          <w:p>
            <w:pPr>
              <w:pStyle w:val="Compact"/>
              <w:jc w:val="right"/>
            </w:pPr>
            <w:r>
              <w:t xml:space="preserve">0.503***</w:t>
            </w:r>
          </w:p>
        </w:tc>
        <w:tc>
          <w:tcPr/>
          <w:p>
            <w:pPr>
              <w:pStyle w:val="Compact"/>
              <w:jc w:val="right"/>
            </w:pPr>
            <w:r>
              <w:t xml:space="preserve">0.000</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(0.087)</w:t>
            </w:r>
          </w:p>
        </w:tc>
        <w:tc>
          <w:tcPr/>
          <w:p>
            <w:pPr>
              <w:pStyle w:val="Compact"/>
            </w:pPr>
          </w:p>
        </w:tc>
        <w:tc>
          <w:tcPr/>
          <w:p>
            <w:pPr>
              <w:pStyle w:val="Compact"/>
            </w:pPr>
          </w:p>
        </w:tc>
      </w:tr>
      <w:tr>
        <w:tc>
          <w:tcPr/>
          <w:p>
            <w:pPr>
              <w:pStyle w:val="Compact"/>
              <w:jc w:val="left"/>
            </w:pPr>
            <w:r>
              <w:t xml:space="preserve">stacked events, no control — weekday losing an expiry</w:t>
            </w:r>
          </w:p>
        </w:tc>
        <w:tc>
          <w:tcPr/>
          <w:p>
            <w:pPr>
              <w:pStyle w:val="Compact"/>
              <w:jc w:val="left"/>
            </w:pPr>
            <w:r>
              <w:t xml:space="preserve">15:00–15:30, 1-min RV</w:t>
            </w:r>
          </w:p>
        </w:tc>
        <w:tc>
          <w:tcPr/>
          <w:p>
            <w:pPr>
              <w:pStyle w:val="Compact"/>
              <w:jc w:val="right"/>
            </w:pPr>
            <w:r>
              <w:t xml:space="preserve">−0.375***</w:t>
            </w:r>
          </w:p>
        </w:tc>
        <w:tc>
          <w:tcPr/>
          <w:p>
            <w:pPr>
              <w:pStyle w:val="Compact"/>
              <w:jc w:val="right"/>
            </w:pPr>
            <w:r>
              <w:t xml:space="preserve">0.000</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(0.102)</w:t>
            </w:r>
          </w:p>
        </w:tc>
        <w:tc>
          <w:tcPr/>
          <w:p>
            <w:pPr>
              <w:pStyle w:val="Compact"/>
            </w:pPr>
          </w:p>
        </w:tc>
        <w:tc>
          <w:tcPr/>
          <w:p>
            <w:pPr>
              <w:pStyle w:val="Compact"/>
            </w:pPr>
          </w:p>
        </w:tc>
      </w:tr>
      <w:tr>
        <w:tc>
          <w:tcPr/>
          <w:p>
            <w:pPr>
              <w:pStyle w:val="Compact"/>
              <w:jc w:val="left"/>
            </w:pPr>
            <w:r>
              <w:t xml:space="preserve">stacked events, + other large index expires — weekday gaining an expiry</w:t>
            </w:r>
          </w:p>
        </w:tc>
        <w:tc>
          <w:tcPr/>
          <w:p>
            <w:pPr>
              <w:pStyle w:val="Compact"/>
              <w:jc w:val="left"/>
            </w:pPr>
            <w:r>
              <w:t xml:space="preserve">15:00–15:30, 1-min RV</w:t>
            </w:r>
          </w:p>
        </w:tc>
        <w:tc>
          <w:tcPr/>
          <w:p>
            <w:pPr>
              <w:pStyle w:val="Compact"/>
              <w:jc w:val="right"/>
            </w:pPr>
            <w:r>
              <w:t xml:space="preserve">0.560***</w:t>
            </w:r>
          </w:p>
        </w:tc>
        <w:tc>
          <w:tcPr/>
          <w:p>
            <w:pPr>
              <w:pStyle w:val="Compact"/>
              <w:jc w:val="right"/>
            </w:pPr>
            <w:r>
              <w:t xml:space="preserve">0.000</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(0.099)</w:t>
            </w:r>
          </w:p>
        </w:tc>
        <w:tc>
          <w:tcPr/>
          <w:p>
            <w:pPr>
              <w:pStyle w:val="Compact"/>
            </w:pPr>
          </w:p>
        </w:tc>
        <w:tc>
          <w:tcPr/>
          <w:p>
            <w:pPr>
              <w:pStyle w:val="Compact"/>
            </w:pPr>
          </w:p>
        </w:tc>
      </w:tr>
      <w:tr>
        <w:tc>
          <w:tcPr/>
          <w:p>
            <w:pPr>
              <w:pStyle w:val="Compact"/>
              <w:jc w:val="left"/>
            </w:pPr>
            <w:r>
              <w:t xml:space="preserve">stacked events, + other large index expires — weekday losing an expiry</w:t>
            </w:r>
          </w:p>
        </w:tc>
        <w:tc>
          <w:tcPr/>
          <w:p>
            <w:pPr>
              <w:pStyle w:val="Compact"/>
              <w:jc w:val="left"/>
            </w:pPr>
            <w:r>
              <w:t xml:space="preserve">15:00–15:30, 1-min RV</w:t>
            </w:r>
          </w:p>
        </w:tc>
        <w:tc>
          <w:tcPr/>
          <w:p>
            <w:pPr>
              <w:pStyle w:val="Compact"/>
              <w:jc w:val="right"/>
            </w:pPr>
            <w:r>
              <w:t xml:space="preserve">−0.442***</w:t>
            </w:r>
          </w:p>
        </w:tc>
        <w:tc>
          <w:tcPr/>
          <w:p>
            <w:pPr>
              <w:pStyle w:val="Compact"/>
              <w:jc w:val="right"/>
            </w:pPr>
            <w:r>
              <w:t xml:space="preserve">0.000</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(0.109)</w:t>
            </w:r>
          </w:p>
        </w:tc>
        <w:tc>
          <w:tcPr/>
          <w:p>
            <w:pPr>
              <w:pStyle w:val="Compact"/>
            </w:pPr>
          </w:p>
        </w:tc>
        <w:tc>
          <w:tcPr/>
          <w:p>
            <w:pPr>
              <w:pStyle w:val="Compact"/>
            </w:pPr>
          </w:p>
        </w:tc>
      </w:tr>
      <w:tr>
        <w:tc>
          <w:tcPr/>
          <w:p>
            <w:pPr>
              <w:pStyle w:val="Compact"/>
              <w:jc w:val="left"/>
            </w:pPr>
            <w:r>
              <w:t xml:space="preserve">stacked events, no control — weekday gaining an expiry</w:t>
            </w:r>
          </w:p>
        </w:tc>
        <w:tc>
          <w:tcPr/>
          <w:p>
            <w:pPr>
              <w:pStyle w:val="Compact"/>
              <w:jc w:val="left"/>
            </w:pPr>
            <w:r>
              <w:t xml:space="preserve">whole session, 5-min RV</w:t>
            </w:r>
          </w:p>
        </w:tc>
        <w:tc>
          <w:tcPr/>
          <w:p>
            <w:pPr>
              <w:pStyle w:val="Compact"/>
              <w:jc w:val="right"/>
            </w:pPr>
            <w:r>
              <w:t xml:space="preserve">0.143**</w:t>
            </w:r>
          </w:p>
        </w:tc>
        <w:tc>
          <w:tcPr/>
          <w:p>
            <w:pPr>
              <w:pStyle w:val="Compact"/>
              <w:jc w:val="right"/>
            </w:pPr>
            <w:r>
              <w:t xml:space="preserve">0.040</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(0.069)</w:t>
            </w:r>
          </w:p>
        </w:tc>
        <w:tc>
          <w:tcPr/>
          <w:p>
            <w:pPr>
              <w:pStyle w:val="Compact"/>
            </w:pPr>
          </w:p>
        </w:tc>
        <w:tc>
          <w:tcPr/>
          <w:p>
            <w:pPr>
              <w:pStyle w:val="Compact"/>
            </w:pPr>
          </w:p>
        </w:tc>
      </w:tr>
      <w:tr>
        <w:tc>
          <w:tcPr/>
          <w:p>
            <w:pPr>
              <w:pStyle w:val="Compact"/>
              <w:jc w:val="left"/>
            </w:pPr>
            <w:r>
              <w:t xml:space="preserve">stacked events, no control — weekday losing an expiry</w:t>
            </w:r>
          </w:p>
        </w:tc>
        <w:tc>
          <w:tcPr/>
          <w:p>
            <w:pPr>
              <w:pStyle w:val="Compact"/>
              <w:jc w:val="left"/>
            </w:pPr>
            <w:r>
              <w:t xml:space="preserve">whole session, 5-min RV</w:t>
            </w:r>
          </w:p>
        </w:tc>
        <w:tc>
          <w:tcPr/>
          <w:p>
            <w:pPr>
              <w:pStyle w:val="Compact"/>
              <w:jc w:val="right"/>
            </w:pPr>
            <w:r>
              <w:t xml:space="preserve">−0.038</w:t>
            </w:r>
          </w:p>
        </w:tc>
        <w:tc>
          <w:tcPr/>
          <w:p>
            <w:pPr>
              <w:pStyle w:val="Compact"/>
              <w:jc w:val="right"/>
            </w:pPr>
            <w:r>
              <w:t xml:space="preserve">0.698</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(0.098)</w:t>
            </w:r>
          </w:p>
        </w:tc>
        <w:tc>
          <w:tcPr/>
          <w:p>
            <w:pPr>
              <w:pStyle w:val="Compact"/>
            </w:pPr>
          </w:p>
        </w:tc>
        <w:tc>
          <w:tcPr/>
          <w:p>
            <w:pPr>
              <w:pStyle w:val="Compact"/>
            </w:pPr>
          </w:p>
        </w:tc>
      </w:tr>
      <w:tr>
        <w:tc>
          <w:tcPr/>
          <w:p>
            <w:pPr>
              <w:pStyle w:val="Compact"/>
              <w:jc w:val="left"/>
            </w:pPr>
            <w:r>
              <w:t xml:space="preserve">stacked events, + other large index expires — weekday gaining an expiry</w:t>
            </w:r>
          </w:p>
        </w:tc>
        <w:tc>
          <w:tcPr/>
          <w:p>
            <w:pPr>
              <w:pStyle w:val="Compact"/>
              <w:jc w:val="left"/>
            </w:pPr>
            <w:r>
              <w:t xml:space="preserve">whole session, 5-min RV</w:t>
            </w:r>
          </w:p>
        </w:tc>
        <w:tc>
          <w:tcPr/>
          <w:p>
            <w:pPr>
              <w:pStyle w:val="Compact"/>
              <w:jc w:val="right"/>
            </w:pPr>
            <w:r>
              <w:t xml:space="preserve">0.160**</w:t>
            </w:r>
          </w:p>
        </w:tc>
        <w:tc>
          <w:tcPr/>
          <w:p>
            <w:pPr>
              <w:pStyle w:val="Compact"/>
              <w:jc w:val="right"/>
            </w:pPr>
            <w:r>
              <w:t xml:space="preserve">0.035</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(0.075)</w:t>
            </w:r>
          </w:p>
        </w:tc>
        <w:tc>
          <w:tcPr/>
          <w:p>
            <w:pPr>
              <w:pStyle w:val="Compact"/>
            </w:pPr>
          </w:p>
        </w:tc>
        <w:tc>
          <w:tcPr/>
          <w:p>
            <w:pPr>
              <w:pStyle w:val="Compact"/>
            </w:pPr>
          </w:p>
        </w:tc>
      </w:tr>
      <w:tr>
        <w:tc>
          <w:tcPr/>
          <w:p>
            <w:pPr>
              <w:pStyle w:val="Compact"/>
              <w:jc w:val="left"/>
            </w:pPr>
            <w:r>
              <w:t xml:space="preserve">stacked events, + other large index expires — weekday losing an expiry</w:t>
            </w:r>
          </w:p>
        </w:tc>
        <w:tc>
          <w:tcPr/>
          <w:p>
            <w:pPr>
              <w:pStyle w:val="Compact"/>
              <w:jc w:val="left"/>
            </w:pPr>
            <w:r>
              <w:t xml:space="preserve">whole session, 5-min RV</w:t>
            </w:r>
          </w:p>
        </w:tc>
        <w:tc>
          <w:tcPr/>
          <w:p>
            <w:pPr>
              <w:pStyle w:val="Compact"/>
              <w:jc w:val="right"/>
            </w:pPr>
            <w:r>
              <w:t xml:space="preserve">−0.058</w:t>
            </w:r>
          </w:p>
        </w:tc>
        <w:tc>
          <w:tcPr/>
          <w:p>
            <w:pPr>
              <w:pStyle w:val="Compact"/>
              <w:jc w:val="right"/>
            </w:pPr>
            <w:r>
              <w:t xml:space="preserve">0.613</w:t>
            </w:r>
          </w:p>
        </w:tc>
        <w:tc>
          <w:tcPr/>
          <w:p>
            <w:pPr>
              <w:pStyle w:val="Compact"/>
              <w:jc w:val="right"/>
            </w:pPr>
            <w:r>
              <w:t xml:space="preserve">1,366</w:t>
            </w:r>
          </w:p>
        </w:tc>
      </w:tr>
      <w:tr>
        <w:tc>
          <w:tcPr/>
          <w:p>
            <w:pPr>
              <w:pStyle w:val="Compact"/>
            </w:pPr>
          </w:p>
        </w:tc>
        <w:tc>
          <w:tcPr/>
          <w:p>
            <w:pPr>
              <w:pStyle w:val="Compact"/>
            </w:pPr>
          </w:p>
        </w:tc>
        <w:tc>
          <w:tcPr/>
          <w:p>
            <w:pPr>
              <w:pStyle w:val="Compact"/>
              <w:jc w:val="right"/>
            </w:pPr>
            <w:r>
              <w:t xml:space="preserve">(0.114)</w:t>
            </w:r>
          </w:p>
        </w:tc>
        <w:tc>
          <w:tcPr/>
          <w:p>
            <w:pPr>
              <w:pStyle w:val="Compact"/>
            </w:pPr>
          </w:p>
        </w:tc>
        <w:tc>
          <w:tcPr/>
          <w:p>
            <w:pPr>
              <w:pStyle w:val="Compact"/>
            </w:pPr>
          </w:p>
        </w:tc>
      </w:tr>
      <w:tr>
        <w:tc>
          <w:tcPr/>
          <w:p>
            <w:pPr>
              <w:pStyle w:val="Compact"/>
              <w:jc w:val="left"/>
            </w:pPr>
            <w:r>
              <w:t xml:space="preserve">leave out nifty50 — own weekly expiry</w:t>
            </w:r>
          </w:p>
        </w:tc>
        <w:tc>
          <w:tcPr/>
          <w:p>
            <w:pPr>
              <w:pStyle w:val="Compact"/>
              <w:jc w:val="left"/>
            </w:pPr>
            <w:r>
              <w:t xml:space="preserve">15:00–15:30, 1-min RV</w:t>
            </w:r>
          </w:p>
        </w:tc>
        <w:tc>
          <w:tcPr/>
          <w:p>
            <w:pPr>
              <w:pStyle w:val="Compact"/>
              <w:jc w:val="right"/>
            </w:pPr>
            <w:r>
              <w:t xml:space="preserve">0.568***</w:t>
            </w:r>
          </w:p>
        </w:tc>
        <w:tc>
          <w:tcPr/>
          <w:p>
            <w:pPr>
              <w:pStyle w:val="Compact"/>
              <w:jc w:val="right"/>
            </w:pPr>
            <w:r>
              <w:t xml:space="preserve">0.000</w:t>
            </w:r>
          </w:p>
        </w:tc>
        <w:tc>
          <w:tcPr/>
          <w:p>
            <w:pPr>
              <w:pStyle w:val="Compact"/>
              <w:jc w:val="right"/>
            </w:pPr>
            <w:r>
              <w:t xml:space="preserve">2,180</w:t>
            </w:r>
          </w:p>
        </w:tc>
      </w:tr>
      <w:tr>
        <w:tc>
          <w:tcPr/>
          <w:p>
            <w:pPr>
              <w:pStyle w:val="Compact"/>
            </w:pPr>
          </w:p>
        </w:tc>
        <w:tc>
          <w:tcPr/>
          <w:p>
            <w:pPr>
              <w:pStyle w:val="Compact"/>
            </w:pPr>
          </w:p>
        </w:tc>
        <w:tc>
          <w:tcPr/>
          <w:p>
            <w:pPr>
              <w:pStyle w:val="Compact"/>
              <w:jc w:val="right"/>
            </w:pPr>
            <w:r>
              <w:t xml:space="preserve">(0.048)</w:t>
            </w:r>
          </w:p>
        </w:tc>
        <w:tc>
          <w:tcPr/>
          <w:p>
            <w:pPr>
              <w:pStyle w:val="Compact"/>
            </w:pPr>
          </w:p>
        </w:tc>
        <w:tc>
          <w:tcPr/>
          <w:p>
            <w:pPr>
              <w:pStyle w:val="Compact"/>
            </w:pPr>
          </w:p>
        </w:tc>
      </w:tr>
      <w:tr>
        <w:tc>
          <w:tcPr/>
          <w:p>
            <w:pPr>
              <w:pStyle w:val="Compact"/>
              <w:jc w:val="left"/>
            </w:pPr>
            <w:r>
              <w:t xml:space="preserve">leave out nifty50 — own monthly expiry</w:t>
            </w:r>
          </w:p>
        </w:tc>
        <w:tc>
          <w:tcPr/>
          <w:p>
            <w:pPr>
              <w:pStyle w:val="Compact"/>
              <w:jc w:val="left"/>
            </w:pPr>
            <w:r>
              <w:t xml:space="preserve">15:00–15:30, 1-min RV</w:t>
            </w:r>
          </w:p>
        </w:tc>
        <w:tc>
          <w:tcPr/>
          <w:p>
            <w:pPr>
              <w:pStyle w:val="Compact"/>
              <w:jc w:val="right"/>
            </w:pPr>
            <w:r>
              <w:t xml:space="preserve">0.534***</w:t>
            </w:r>
          </w:p>
        </w:tc>
        <w:tc>
          <w:tcPr/>
          <w:p>
            <w:pPr>
              <w:pStyle w:val="Compact"/>
              <w:jc w:val="right"/>
            </w:pPr>
            <w:r>
              <w:t xml:space="preserve">0.000</w:t>
            </w:r>
          </w:p>
        </w:tc>
        <w:tc>
          <w:tcPr/>
          <w:p>
            <w:pPr>
              <w:pStyle w:val="Compact"/>
              <w:jc w:val="right"/>
            </w:pPr>
            <w:r>
              <w:t xml:space="preserve">2,180</w:t>
            </w:r>
          </w:p>
        </w:tc>
      </w:tr>
      <w:tr>
        <w:tc>
          <w:tcPr/>
          <w:p>
            <w:pPr>
              <w:pStyle w:val="Compact"/>
            </w:pPr>
          </w:p>
        </w:tc>
        <w:tc>
          <w:tcPr/>
          <w:p>
            <w:pPr>
              <w:pStyle w:val="Compact"/>
            </w:pPr>
          </w:p>
        </w:tc>
        <w:tc>
          <w:tcPr/>
          <w:p>
            <w:pPr>
              <w:pStyle w:val="Compact"/>
              <w:jc w:val="right"/>
            </w:pPr>
            <w:r>
              <w:t xml:space="preserve">(0.065)</w:t>
            </w:r>
          </w:p>
        </w:tc>
        <w:tc>
          <w:tcPr/>
          <w:p>
            <w:pPr>
              <w:pStyle w:val="Compact"/>
            </w:pPr>
          </w:p>
        </w:tc>
        <w:tc>
          <w:tcPr/>
          <w:p>
            <w:pPr>
              <w:pStyle w:val="Compact"/>
            </w:pPr>
          </w:p>
        </w:tc>
      </w:tr>
      <w:tr>
        <w:tc>
          <w:tcPr/>
          <w:p>
            <w:pPr>
              <w:pStyle w:val="Compact"/>
              <w:jc w:val="left"/>
            </w:pPr>
            <w:r>
              <w:t xml:space="preserve">leave out banknifty — own weekly expiry</w:t>
            </w:r>
          </w:p>
        </w:tc>
        <w:tc>
          <w:tcPr/>
          <w:p>
            <w:pPr>
              <w:pStyle w:val="Compact"/>
              <w:jc w:val="left"/>
            </w:pPr>
            <w:r>
              <w:t xml:space="preserve">15:00–15:30, 1-min RV</w:t>
            </w:r>
          </w:p>
        </w:tc>
        <w:tc>
          <w:tcPr/>
          <w:p>
            <w:pPr>
              <w:pStyle w:val="Compact"/>
              <w:jc w:val="right"/>
            </w:pPr>
            <w:r>
              <w:t xml:space="preserve">0.514***</w:t>
            </w:r>
          </w:p>
        </w:tc>
        <w:tc>
          <w:tcPr/>
          <w:p>
            <w:pPr>
              <w:pStyle w:val="Compact"/>
              <w:jc w:val="right"/>
            </w:pPr>
            <w:r>
              <w:t xml:space="preserve">0.000</w:t>
            </w:r>
          </w:p>
        </w:tc>
        <w:tc>
          <w:tcPr/>
          <w:p>
            <w:pPr>
              <w:pStyle w:val="Compact"/>
              <w:jc w:val="right"/>
            </w:pPr>
            <w:r>
              <w:t xml:space="preserve">2,176</w:t>
            </w:r>
          </w:p>
        </w:tc>
      </w:tr>
      <w:tr>
        <w:tc>
          <w:tcPr/>
          <w:p>
            <w:pPr>
              <w:pStyle w:val="Compact"/>
            </w:pPr>
          </w:p>
        </w:tc>
        <w:tc>
          <w:tcPr/>
          <w:p>
            <w:pPr>
              <w:pStyle w:val="Compact"/>
            </w:pPr>
          </w:p>
        </w:tc>
        <w:tc>
          <w:tcPr/>
          <w:p>
            <w:pPr>
              <w:pStyle w:val="Compact"/>
              <w:jc w:val="right"/>
            </w:pPr>
            <w:r>
              <w:t xml:space="preserve">(0.054)</w:t>
            </w:r>
          </w:p>
        </w:tc>
        <w:tc>
          <w:tcPr/>
          <w:p>
            <w:pPr>
              <w:pStyle w:val="Compact"/>
            </w:pPr>
          </w:p>
        </w:tc>
        <w:tc>
          <w:tcPr/>
          <w:p>
            <w:pPr>
              <w:pStyle w:val="Compact"/>
            </w:pPr>
          </w:p>
        </w:tc>
      </w:tr>
      <w:tr>
        <w:tc>
          <w:tcPr/>
          <w:p>
            <w:pPr>
              <w:pStyle w:val="Compact"/>
              <w:jc w:val="left"/>
            </w:pPr>
            <w:r>
              <w:t xml:space="preserve">leave out banknifty — own monthly expiry</w:t>
            </w:r>
          </w:p>
        </w:tc>
        <w:tc>
          <w:tcPr/>
          <w:p>
            <w:pPr>
              <w:pStyle w:val="Compact"/>
              <w:jc w:val="left"/>
            </w:pPr>
            <w:r>
              <w:t xml:space="preserve">15:00–15:30, 1-min RV</w:t>
            </w:r>
          </w:p>
        </w:tc>
        <w:tc>
          <w:tcPr/>
          <w:p>
            <w:pPr>
              <w:pStyle w:val="Compact"/>
              <w:jc w:val="right"/>
            </w:pPr>
            <w:r>
              <w:t xml:space="preserve">0.635***</w:t>
            </w:r>
          </w:p>
        </w:tc>
        <w:tc>
          <w:tcPr/>
          <w:p>
            <w:pPr>
              <w:pStyle w:val="Compact"/>
              <w:jc w:val="right"/>
            </w:pPr>
            <w:r>
              <w:t xml:space="preserve">0.000</w:t>
            </w:r>
          </w:p>
        </w:tc>
        <w:tc>
          <w:tcPr/>
          <w:p>
            <w:pPr>
              <w:pStyle w:val="Compact"/>
              <w:jc w:val="right"/>
            </w:pPr>
            <w:r>
              <w:t xml:space="preserve">2,176</w:t>
            </w:r>
          </w:p>
        </w:tc>
      </w:tr>
      <w:tr>
        <w:tc>
          <w:tcPr/>
          <w:p>
            <w:pPr>
              <w:pStyle w:val="Compact"/>
            </w:pPr>
          </w:p>
        </w:tc>
        <w:tc>
          <w:tcPr/>
          <w:p>
            <w:pPr>
              <w:pStyle w:val="Compact"/>
            </w:pPr>
          </w:p>
        </w:tc>
        <w:tc>
          <w:tcPr/>
          <w:p>
            <w:pPr>
              <w:pStyle w:val="Compact"/>
              <w:jc w:val="right"/>
            </w:pPr>
            <w:r>
              <w:t xml:space="preserve">(0.084)</w:t>
            </w:r>
          </w:p>
        </w:tc>
        <w:tc>
          <w:tcPr/>
          <w:p>
            <w:pPr>
              <w:pStyle w:val="Compact"/>
            </w:pPr>
          </w:p>
        </w:tc>
        <w:tc>
          <w:tcPr/>
          <w:p>
            <w:pPr>
              <w:pStyle w:val="Compact"/>
            </w:pPr>
          </w:p>
        </w:tc>
      </w:tr>
      <w:tr>
        <w:tc>
          <w:tcPr/>
          <w:p>
            <w:pPr>
              <w:pStyle w:val="Compact"/>
              <w:jc w:val="left"/>
            </w:pPr>
            <w:r>
              <w:t xml:space="preserve">leave out sensex — own weekly expiry</w:t>
            </w:r>
          </w:p>
        </w:tc>
        <w:tc>
          <w:tcPr/>
          <w:p>
            <w:pPr>
              <w:pStyle w:val="Compact"/>
              <w:jc w:val="left"/>
            </w:pPr>
            <w:r>
              <w:t xml:space="preserve">15:00–15:30, 1-min RV</w:t>
            </w:r>
          </w:p>
        </w:tc>
        <w:tc>
          <w:tcPr/>
          <w:p>
            <w:pPr>
              <w:pStyle w:val="Compact"/>
              <w:jc w:val="right"/>
            </w:pPr>
            <w:r>
              <w:t xml:space="preserve">0.185***</w:t>
            </w:r>
          </w:p>
        </w:tc>
        <w:tc>
          <w:tcPr/>
          <w:p>
            <w:pPr>
              <w:pStyle w:val="Compact"/>
              <w:jc w:val="right"/>
            </w:pPr>
            <w:r>
              <w:t xml:space="preserve">0.000</w:t>
            </w:r>
          </w:p>
        </w:tc>
        <w:tc>
          <w:tcPr/>
          <w:p>
            <w:pPr>
              <w:pStyle w:val="Compact"/>
              <w:jc w:val="right"/>
            </w:pPr>
            <w:r>
              <w:t xml:space="preserve">2,500</w:t>
            </w:r>
          </w:p>
        </w:tc>
      </w:tr>
      <w:tr>
        <w:tc>
          <w:tcPr/>
          <w:p>
            <w:pPr>
              <w:pStyle w:val="Compact"/>
            </w:pPr>
          </w:p>
        </w:tc>
        <w:tc>
          <w:tcPr/>
          <w:p>
            <w:pPr>
              <w:pStyle w:val="Compact"/>
            </w:pPr>
          </w:p>
        </w:tc>
        <w:tc>
          <w:tcPr/>
          <w:p>
            <w:pPr>
              <w:pStyle w:val="Compact"/>
              <w:jc w:val="right"/>
            </w:pPr>
            <w:r>
              <w:t xml:space="preserve">(0.050)</w:t>
            </w:r>
          </w:p>
        </w:tc>
        <w:tc>
          <w:tcPr/>
          <w:p>
            <w:pPr>
              <w:pStyle w:val="Compact"/>
            </w:pPr>
          </w:p>
        </w:tc>
        <w:tc>
          <w:tcPr/>
          <w:p>
            <w:pPr>
              <w:pStyle w:val="Compact"/>
            </w:pPr>
          </w:p>
        </w:tc>
      </w:tr>
      <w:tr>
        <w:tc>
          <w:tcPr/>
          <w:p>
            <w:pPr>
              <w:pStyle w:val="Compact"/>
              <w:jc w:val="left"/>
            </w:pPr>
            <w:r>
              <w:t xml:space="preserve">leave out sensex — own monthly expiry</w:t>
            </w:r>
          </w:p>
        </w:tc>
        <w:tc>
          <w:tcPr/>
          <w:p>
            <w:pPr>
              <w:pStyle w:val="Compact"/>
              <w:jc w:val="left"/>
            </w:pPr>
            <w:r>
              <w:t xml:space="preserve">15:00–15:30, 1-min RV</w:t>
            </w:r>
          </w:p>
        </w:tc>
        <w:tc>
          <w:tcPr/>
          <w:p>
            <w:pPr>
              <w:pStyle w:val="Compact"/>
              <w:jc w:val="right"/>
            </w:pPr>
            <w:r>
              <w:t xml:space="preserve">0.344***</w:t>
            </w:r>
          </w:p>
        </w:tc>
        <w:tc>
          <w:tcPr/>
          <w:p>
            <w:pPr>
              <w:pStyle w:val="Compact"/>
              <w:jc w:val="right"/>
            </w:pPr>
            <w:r>
              <w:t xml:space="preserve">0.000</w:t>
            </w:r>
          </w:p>
        </w:tc>
        <w:tc>
          <w:tcPr/>
          <w:p>
            <w:pPr>
              <w:pStyle w:val="Compact"/>
              <w:jc w:val="right"/>
            </w:pPr>
            <w:r>
              <w:t xml:space="preserve">2,500</w:t>
            </w:r>
          </w:p>
        </w:tc>
      </w:tr>
      <w:tr>
        <w:tc>
          <w:tcPr/>
          <w:p>
            <w:pPr>
              <w:pStyle w:val="Compact"/>
            </w:pPr>
          </w:p>
        </w:tc>
        <w:tc>
          <w:tcPr/>
          <w:p>
            <w:pPr>
              <w:pStyle w:val="Compact"/>
            </w:pPr>
          </w:p>
        </w:tc>
        <w:tc>
          <w:tcPr/>
          <w:p>
            <w:pPr>
              <w:pStyle w:val="Compact"/>
              <w:jc w:val="right"/>
            </w:pPr>
            <w:r>
              <w:t xml:space="preserve">(0.078)</w:t>
            </w:r>
          </w:p>
        </w:tc>
        <w:tc>
          <w:tcPr/>
          <w:p>
            <w:pPr>
              <w:pStyle w:val="Compact"/>
            </w:pPr>
          </w:p>
        </w:tc>
        <w:tc>
          <w:tcPr/>
          <w:p>
            <w:pPr>
              <w:pStyle w:val="Compact"/>
            </w:pPr>
          </w:p>
        </w:tc>
      </w:tr>
      <w:tr>
        <w:tc>
          <w:tcPr/>
          <w:p>
            <w:pPr>
              <w:pStyle w:val="Compact"/>
              <w:jc w:val="left"/>
            </w:pPr>
            <w:r>
              <w:t xml:space="preserve">settlement window from 5-minute returns — own weekly expiry</w:t>
            </w:r>
          </w:p>
        </w:tc>
        <w:tc>
          <w:tcPr/>
          <w:p>
            <w:pPr>
              <w:pStyle w:val="Compact"/>
              <w:jc w:val="left"/>
            </w:pPr>
            <w:r>
              <w:t xml:space="preserve">15:00–15:30, 5-min RV</w:t>
            </w:r>
          </w:p>
        </w:tc>
        <w:tc>
          <w:tcPr/>
          <w:p>
            <w:pPr>
              <w:pStyle w:val="Compact"/>
              <w:jc w:val="right"/>
            </w:pPr>
            <w:r>
              <w:t xml:space="preserve">0.193***</w:t>
            </w:r>
          </w:p>
        </w:tc>
        <w:tc>
          <w:tcPr/>
          <w:p>
            <w:pPr>
              <w:pStyle w:val="Compact"/>
              <w:jc w:val="right"/>
            </w:pPr>
            <w:r>
              <w:t xml:space="preserve">0.001</w:t>
            </w:r>
          </w:p>
        </w:tc>
        <w:tc>
          <w:tcPr/>
          <w:p>
            <w:pPr>
              <w:pStyle w:val="Compact"/>
              <w:jc w:val="right"/>
            </w:pPr>
            <w:r>
              <w:t xml:space="preserve">3,428</w:t>
            </w:r>
          </w:p>
        </w:tc>
      </w:tr>
      <w:tr>
        <w:tc>
          <w:tcPr/>
          <w:p>
            <w:pPr>
              <w:pStyle w:val="Compact"/>
            </w:pPr>
          </w:p>
        </w:tc>
        <w:tc>
          <w:tcPr/>
          <w:p>
            <w:pPr>
              <w:pStyle w:val="Compact"/>
            </w:pPr>
          </w:p>
        </w:tc>
        <w:tc>
          <w:tcPr/>
          <w:p>
            <w:pPr>
              <w:pStyle w:val="Compact"/>
              <w:jc w:val="right"/>
            </w:pPr>
            <w:r>
              <w:t xml:space="preserve">(0.058)</w:t>
            </w:r>
          </w:p>
        </w:tc>
        <w:tc>
          <w:tcPr/>
          <w:p>
            <w:pPr>
              <w:pStyle w:val="Compact"/>
            </w:pPr>
          </w:p>
        </w:tc>
        <w:tc>
          <w:tcPr/>
          <w:p>
            <w:pPr>
              <w:pStyle w:val="Compact"/>
            </w:pPr>
          </w:p>
        </w:tc>
      </w:tr>
      <w:tr>
        <w:tc>
          <w:tcPr/>
          <w:p>
            <w:pPr>
              <w:pStyle w:val="Compact"/>
              <w:jc w:val="left"/>
            </w:pPr>
            <w:r>
              <w:t xml:space="preserve">settlement window from 5-minute returns — own monthly expiry</w:t>
            </w:r>
          </w:p>
        </w:tc>
        <w:tc>
          <w:tcPr/>
          <w:p>
            <w:pPr>
              <w:pStyle w:val="Compact"/>
              <w:jc w:val="left"/>
            </w:pPr>
            <w:r>
              <w:t xml:space="preserve">15:00–15:30, 5-min RV</w:t>
            </w:r>
          </w:p>
        </w:tc>
        <w:tc>
          <w:tcPr/>
          <w:p>
            <w:pPr>
              <w:pStyle w:val="Compact"/>
              <w:jc w:val="right"/>
            </w:pPr>
            <w:r>
              <w:t xml:space="preserve">0.466***</w:t>
            </w:r>
          </w:p>
        </w:tc>
        <w:tc>
          <w:tcPr/>
          <w:p>
            <w:pPr>
              <w:pStyle w:val="Compact"/>
              <w:jc w:val="right"/>
            </w:pPr>
            <w:r>
              <w:t xml:space="preserve">0.000</w:t>
            </w:r>
          </w:p>
        </w:tc>
        <w:tc>
          <w:tcPr/>
          <w:p>
            <w:pPr>
              <w:pStyle w:val="Compact"/>
              <w:jc w:val="right"/>
            </w:pPr>
            <w:r>
              <w:t xml:space="preserve">3,428</w:t>
            </w:r>
          </w:p>
        </w:tc>
      </w:tr>
      <w:tr>
        <w:tc>
          <w:tcPr/>
          <w:p>
            <w:pPr>
              <w:pStyle w:val="Compact"/>
            </w:pPr>
          </w:p>
        </w:tc>
        <w:tc>
          <w:tcPr/>
          <w:p>
            <w:pPr>
              <w:pStyle w:val="Compact"/>
            </w:pPr>
          </w:p>
        </w:tc>
        <w:tc>
          <w:tcPr/>
          <w:p>
            <w:pPr>
              <w:pStyle w:val="Compact"/>
              <w:jc w:val="right"/>
            </w:pPr>
            <w:r>
              <w:t xml:space="preserve">(0.097)</w:t>
            </w:r>
          </w:p>
        </w:tc>
        <w:tc>
          <w:tcPr/>
          <w:p>
            <w:pPr>
              <w:pStyle w:val="Compact"/>
            </w:pPr>
          </w:p>
        </w:tc>
        <w:tc>
          <w:tcPr/>
          <w:p>
            <w:pPr>
              <w:pStyle w:val="Compact"/>
            </w:pPr>
          </w:p>
        </w:tc>
      </w:tr>
      <w:tr>
        <w:tc>
          <w:tcPr/>
          <w:p>
            <w:pPr>
              <w:pStyle w:val="Compact"/>
              <w:jc w:val="left"/>
            </w:pPr>
            <w:r>
              <w:t xml:space="preserve">settlement window from 5-minute returns — another large index expires</w:t>
            </w:r>
          </w:p>
        </w:tc>
        <w:tc>
          <w:tcPr/>
          <w:p>
            <w:pPr>
              <w:pStyle w:val="Compact"/>
              <w:jc w:val="left"/>
            </w:pPr>
            <w:r>
              <w:t xml:space="preserve">15:00–15:30, 5-min RV</w:t>
            </w:r>
          </w:p>
        </w:tc>
        <w:tc>
          <w:tcPr/>
          <w:p>
            <w:pPr>
              <w:pStyle w:val="Compact"/>
              <w:jc w:val="right"/>
            </w:pPr>
            <w:r>
              <w:t xml:space="preserve">0.121**</w:t>
            </w:r>
          </w:p>
        </w:tc>
        <w:tc>
          <w:tcPr/>
          <w:p>
            <w:pPr>
              <w:pStyle w:val="Compact"/>
              <w:jc w:val="right"/>
            </w:pPr>
            <w:r>
              <w:t xml:space="preserve">0.038</w:t>
            </w:r>
          </w:p>
        </w:tc>
        <w:tc>
          <w:tcPr/>
          <w:p>
            <w:pPr>
              <w:pStyle w:val="Compact"/>
              <w:jc w:val="right"/>
            </w:pPr>
            <w:r>
              <w:t xml:space="preserve">3,428</w:t>
            </w:r>
          </w:p>
        </w:tc>
      </w:tr>
      <w:tr>
        <w:tc>
          <w:tcPr/>
          <w:p>
            <w:pPr>
              <w:pStyle w:val="Compact"/>
            </w:pPr>
          </w:p>
        </w:tc>
        <w:tc>
          <w:tcPr/>
          <w:p>
            <w:pPr>
              <w:pStyle w:val="Compact"/>
            </w:pPr>
          </w:p>
        </w:tc>
        <w:tc>
          <w:tcPr/>
          <w:p>
            <w:pPr>
              <w:pStyle w:val="Compact"/>
              <w:jc w:val="right"/>
            </w:pPr>
            <w:r>
              <w:t xml:space="preserve">(0.058)</w:t>
            </w:r>
          </w:p>
        </w:tc>
        <w:tc>
          <w:tcPr/>
          <w:p>
            <w:pPr>
              <w:pStyle w:val="Compact"/>
            </w:pPr>
          </w:p>
        </w:tc>
        <w:tc>
          <w:tcPr/>
          <w:p>
            <w:pPr>
              <w:pStyle w:val="Compact"/>
            </w:pPr>
          </w:p>
        </w:tc>
      </w:tr>
      <w:tr>
        <w:tc>
          <w:tcPr/>
          <w:p>
            <w:pPr>
              <w:pStyle w:val="Compact"/>
              <w:jc w:val="left"/>
            </w:pPr>
            <w:r>
              <w:t xml:space="preserve">dose-response: own expiry x expiring-series contracts (std.) — own expiry (at average volume)</w:t>
            </w:r>
          </w:p>
        </w:tc>
        <w:tc>
          <w:tcPr/>
          <w:p>
            <w:pPr>
              <w:pStyle w:val="Compact"/>
              <w:jc w:val="left"/>
            </w:pPr>
            <w:r>
              <w:t xml:space="preserve">15:00–15:30, 1-min RV</w:t>
            </w:r>
          </w:p>
        </w:tc>
        <w:tc>
          <w:tcPr/>
          <w:p>
            <w:pPr>
              <w:pStyle w:val="Compact"/>
              <w:jc w:val="right"/>
            </w:pPr>
            <w:r>
              <w:t xml:space="preserve">0.183***</w:t>
            </w:r>
          </w:p>
        </w:tc>
        <w:tc>
          <w:tcPr/>
          <w:p>
            <w:pPr>
              <w:pStyle w:val="Compact"/>
              <w:jc w:val="right"/>
            </w:pPr>
            <w:r>
              <w:t xml:space="preserve">0.000</w:t>
            </w:r>
          </w:p>
        </w:tc>
        <w:tc>
          <w:tcPr/>
          <w:p>
            <w:pPr>
              <w:pStyle w:val="Compact"/>
              <w:jc w:val="right"/>
            </w:pPr>
            <w:r>
              <w:t xml:space="preserve">2,494</w:t>
            </w:r>
          </w:p>
        </w:tc>
      </w:tr>
      <w:tr>
        <w:tc>
          <w:tcPr/>
          <w:p>
            <w:pPr>
              <w:pStyle w:val="Compact"/>
            </w:pPr>
          </w:p>
        </w:tc>
        <w:tc>
          <w:tcPr/>
          <w:p>
            <w:pPr>
              <w:pStyle w:val="Compact"/>
            </w:pPr>
          </w:p>
        </w:tc>
        <w:tc>
          <w:tcPr/>
          <w:p>
            <w:pPr>
              <w:pStyle w:val="Compact"/>
              <w:jc w:val="right"/>
            </w:pPr>
            <w:r>
              <w:t xml:space="preserve">(0.043)</w:t>
            </w:r>
          </w:p>
        </w:tc>
        <w:tc>
          <w:tcPr/>
          <w:p>
            <w:pPr>
              <w:pStyle w:val="Compact"/>
            </w:pPr>
          </w:p>
        </w:tc>
        <w:tc>
          <w:tcPr/>
          <w:p>
            <w:pPr>
              <w:pStyle w:val="Compact"/>
            </w:pPr>
          </w:p>
        </w:tc>
      </w:tr>
      <w:tr>
        <w:tc>
          <w:tcPr/>
          <w:p>
            <w:pPr>
              <w:pStyle w:val="Compact"/>
              <w:jc w:val="left"/>
            </w:pPr>
            <w:r>
              <w:t xml:space="preserve">dose-response: own expiry x expiring-series contracts (std.) — own expiry × expiring-series contracts (1 s.d.)</w:t>
            </w:r>
          </w:p>
        </w:tc>
        <w:tc>
          <w:tcPr/>
          <w:p>
            <w:pPr>
              <w:pStyle w:val="Compact"/>
              <w:jc w:val="left"/>
            </w:pPr>
            <w:r>
              <w:t xml:space="preserve">15:00–15:30, 1-min RV</w:t>
            </w:r>
          </w:p>
        </w:tc>
        <w:tc>
          <w:tcPr/>
          <w:p>
            <w:pPr>
              <w:pStyle w:val="Compact"/>
              <w:jc w:val="right"/>
            </w:pPr>
            <w:r>
              <w:t xml:space="preserve">0.209***</w:t>
            </w:r>
          </w:p>
        </w:tc>
        <w:tc>
          <w:tcPr/>
          <w:p>
            <w:pPr>
              <w:pStyle w:val="Compact"/>
              <w:jc w:val="right"/>
            </w:pPr>
            <w:r>
              <w:t xml:space="preserve">0.000</w:t>
            </w:r>
          </w:p>
        </w:tc>
        <w:tc>
          <w:tcPr/>
          <w:p>
            <w:pPr>
              <w:pStyle w:val="Compact"/>
              <w:jc w:val="right"/>
            </w:pPr>
            <w:r>
              <w:t xml:space="preserve">2,494</w:t>
            </w:r>
          </w:p>
        </w:tc>
      </w:tr>
      <w:tr>
        <w:tc>
          <w:tcPr/>
          <w:p>
            <w:pPr>
              <w:pStyle w:val="Compact"/>
            </w:pPr>
          </w:p>
        </w:tc>
        <w:tc>
          <w:tcPr/>
          <w:p>
            <w:pPr>
              <w:pStyle w:val="Compact"/>
            </w:pPr>
          </w:p>
        </w:tc>
        <w:tc>
          <w:tcPr/>
          <w:p>
            <w:pPr>
              <w:pStyle w:val="Compact"/>
              <w:jc w:val="right"/>
            </w:pPr>
            <w:r>
              <w:t xml:space="preserve">(0.045)</w:t>
            </w:r>
          </w:p>
        </w:tc>
        <w:tc>
          <w:tcPr/>
          <w:p>
            <w:pPr>
              <w:pStyle w:val="Compact"/>
            </w:pPr>
          </w:p>
        </w:tc>
        <w:tc>
          <w:tcPr/>
          <w:p>
            <w:pPr>
              <w:pStyle w:val="Compact"/>
            </w:pPr>
          </w:p>
        </w:tc>
      </w:tr>
    </w:tbl>
    <w:p>
      <w:pPr>
        <w:pStyle w:val="BodyText"/>
      </w:pPr>
      <w:r>
        <w:rPr>
          <w:iCs/>
          <w:i/>
        </w:rPr>
        <w:t xml:space="preserve">Note.</w:t>
      </w:r>
      <w:r>
        <w:t xml:space="preserve"> </w:t>
      </w:r>
      <w:r>
        <w:t xml:space="preserve">Stacked events: equation (2) pooled over the six calendar changes with one-minute data, without and with a control for the expiry of other large indices. Leave-one-out: pooled equation (1) without the named index. Five-minute returns: settlement-window realized variance from the six five-minute returns between 15:00 and 15:30. Dose–response (Nifty 50 and Bank Nifty, to June 2026): own expiry interacted with the standardized log number of contracts traded in the expiring series on the expiry day.</w:t>
      </w:r>
    </w:p>
    <w:bookmarkEnd w:id="29"/>
    <w:bookmarkStart w:id="30" w:name="Xe70c75b561197e77968ddde702e06c0dc348a31"/>
    <w:p>
      <w:pPr>
        <w:pStyle w:val="Heading1"/>
      </w:pPr>
      <w:r>
        <w:t xml:space="preserve">S11. Share of session variance in the settlement window</w:t>
      </w:r>
    </w:p>
    <w:p>
      <w:pPr>
        <w:pStyle w:val="FirstParagraph"/>
      </w:pPr>
      <w:r>
        <w:rPr>
          <w:bCs/>
          <w:b/>
        </w:rPr>
        <w:t xml:space="preserve">Table S11.</w:t>
      </w:r>
      <w:r>
        <w:t xml:space="preserve"> </w:t>
      </w:r>
      <w:r>
        <w:t xml:space="preserve">Mean share of session realized variance in 15:00–15:30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Index</w:t>
            </w:r>
          </w:p>
        </w:tc>
        <w:tc>
          <w:tcPr/>
          <w:p>
            <w:pPr>
              <w:pStyle w:val="Compact"/>
              <w:jc w:val="right"/>
            </w:pPr>
            <w:r>
              <w:t xml:space="preserve">Own expiry days</w:t>
            </w:r>
          </w:p>
        </w:tc>
        <w:tc>
          <w:tcPr/>
          <w:p>
            <w:pPr>
              <w:pStyle w:val="Compact"/>
              <w:jc w:val="right"/>
            </w:pPr>
            <w:r>
              <w:t xml:space="preserve">Other days</w:t>
            </w:r>
          </w:p>
        </w:tc>
      </w:tr>
      <w:tr>
        <w:tc>
          <w:tcPr/>
          <w:p>
            <w:pPr>
              <w:pStyle w:val="Compact"/>
              <w:jc w:val="left"/>
            </w:pPr>
            <w:r>
              <w:t xml:space="preserve">Nifty 50</w:t>
            </w:r>
          </w:p>
        </w:tc>
        <w:tc>
          <w:tcPr/>
          <w:p>
            <w:pPr>
              <w:pStyle w:val="Compact"/>
              <w:jc w:val="right"/>
            </w:pPr>
            <w:r>
              <w:t xml:space="preserve">10.3</w:t>
            </w:r>
          </w:p>
        </w:tc>
        <w:tc>
          <w:tcPr/>
          <w:p>
            <w:pPr>
              <w:pStyle w:val="Compact"/>
              <w:jc w:val="right"/>
            </w:pPr>
            <w:r>
              <w:t xml:space="preserve">8.5</w:t>
            </w:r>
          </w:p>
        </w:tc>
      </w:tr>
      <w:tr>
        <w:tc>
          <w:tcPr/>
          <w:p>
            <w:pPr>
              <w:pStyle w:val="Compact"/>
              <w:jc w:val="left"/>
            </w:pPr>
            <w:r>
              <w:t xml:space="preserve">Bank Nifty</w:t>
            </w:r>
          </w:p>
        </w:tc>
        <w:tc>
          <w:tcPr/>
          <w:p>
            <w:pPr>
              <w:pStyle w:val="Compact"/>
              <w:jc w:val="right"/>
            </w:pPr>
            <w:r>
              <w:t xml:space="preserve">11.7</w:t>
            </w:r>
          </w:p>
        </w:tc>
        <w:tc>
          <w:tcPr/>
          <w:p>
            <w:pPr>
              <w:pStyle w:val="Compact"/>
              <w:jc w:val="right"/>
            </w:pPr>
            <w:r>
              <w:t xml:space="preserve">8.6</w:t>
            </w:r>
          </w:p>
        </w:tc>
      </w:tr>
      <w:tr>
        <w:tc>
          <w:tcPr/>
          <w:p>
            <w:pPr>
              <w:pStyle w:val="Compact"/>
              <w:jc w:val="left"/>
            </w:pPr>
            <w:r>
              <w:t xml:space="preserve">Sensex</w:t>
            </w:r>
          </w:p>
        </w:tc>
        <w:tc>
          <w:tcPr/>
          <w:p>
            <w:pPr>
              <w:pStyle w:val="Compact"/>
              <w:jc w:val="right"/>
            </w:pPr>
            <w:r>
              <w:t xml:space="preserve">21.1</w:t>
            </w:r>
          </w:p>
        </w:tc>
        <w:tc>
          <w:tcPr/>
          <w:p>
            <w:pPr>
              <w:pStyle w:val="Compact"/>
              <w:jc w:val="right"/>
            </w:pPr>
            <w:r>
              <w:t xml:space="preserve">8.9</w:t>
            </w:r>
          </w:p>
        </w:tc>
      </w:tr>
    </w:tbl>
    <w:bookmarkEnd w:id="30"/>
    <w:bookmarkStart w:id="43" w:name="s12.-additional-figures"/>
    <w:p>
      <w:pPr>
        <w:pStyle w:val="Heading1"/>
      </w:pPr>
      <w:r>
        <w:t xml:space="preserve">S12. Additional figures</w:t>
      </w:r>
    </w:p>
    <w:p>
      <w:pPr>
        <w:pStyle w:val="FirstParagraph"/>
      </w:pPr>
      <w:r>
        <w:drawing>
          <wp:inline>
            <wp:extent cx="4000500" cy="1789279"/>
            <wp:effectExtent b="0" l="0" r="0" t="0"/>
            <wp:docPr descr="" title="" id="32" name="Picture"/>
            <a:graphic>
              <a:graphicData uri="http://schemas.openxmlformats.org/drawingml/2006/picture">
                <pic:pic>
                  <pic:nvPicPr>
                    <pic:cNvPr descr="../figures/fig1_activity.png" id="33" name="Picture"/>
                    <pic:cNvPicPr>
                      <a:picLocks noChangeArrowheads="1" noChangeAspect="1"/>
                    </pic:cNvPicPr>
                  </pic:nvPicPr>
                  <pic:blipFill>
                    <a:blip r:embed="rId31"/>
                    <a:stretch>
                      <a:fillRect/>
                    </a:stretch>
                  </pic:blipFill>
                  <pic:spPr bwMode="auto">
                    <a:xfrm>
                      <a:off x="0" y="0"/>
                      <a:ext cx="4000500" cy="1789279"/>
                    </a:xfrm>
                    <a:prstGeom prst="rect">
                      <a:avLst/>
                    </a:prstGeom>
                    <a:noFill/>
                    <a:ln w="9525">
                      <a:noFill/>
                      <a:headEnd/>
                      <a:tailEnd/>
                    </a:ln>
                  </pic:spPr>
                </pic:pic>
              </a:graphicData>
            </a:graphic>
          </wp:inline>
        </w:drawing>
      </w:r>
    </w:p>
    <w:p>
      <w:pPr>
        <w:pStyle w:val="BodyText"/>
      </w:pPr>
      <w:r>
        <w:rPr>
          <w:bCs/>
          <w:b/>
        </w:rPr>
        <w:t xml:space="preserve">Figure S1.</w:t>
      </w:r>
      <w:r>
        <w:t xml:space="preserve"> </w:t>
      </w:r>
      <w:r>
        <w:t xml:space="preserve">Share of each year’s option contracts traded on expiry day in the expiring series, Nifty 50 and Bank Nifty options.</w:t>
      </w:r>
    </w:p>
    <w:p>
      <w:pPr>
        <w:pStyle w:val="BodyText"/>
      </w:pPr>
      <w:r>
        <w:drawing>
          <wp:inline>
            <wp:extent cx="5334000" cy="1981763"/>
            <wp:effectExtent b="0" l="0" r="0" t="0"/>
            <wp:docPr descr="" title="" id="35" name="Picture"/>
            <a:graphic>
              <a:graphicData uri="http://schemas.openxmlformats.org/drawingml/2006/picture">
                <pic:pic>
                  <pic:nvPicPr>
                    <pic:cNvPr descr="../figures/fig5_event_time.png" id="36" name="Picture"/>
                    <pic:cNvPicPr>
                      <a:picLocks noChangeArrowheads="1" noChangeAspect="1"/>
                    </pic:cNvPicPr>
                  </pic:nvPicPr>
                  <pic:blipFill>
                    <a:blip r:embed="rId34"/>
                    <a:stretch>
                      <a:fillRect/>
                    </a:stretch>
                  </pic:blipFill>
                  <pic:spPr bwMode="auto">
                    <a:xfrm>
                      <a:off x="0" y="0"/>
                      <a:ext cx="5334000" cy="1981763"/>
                    </a:xfrm>
                    <a:prstGeom prst="rect">
                      <a:avLst/>
                    </a:prstGeom>
                    <a:noFill/>
                    <a:ln w="9525">
                      <a:noFill/>
                      <a:headEnd/>
                      <a:tailEnd/>
                    </a:ln>
                  </pic:spPr>
                </pic:pic>
              </a:graphicData>
            </a:graphic>
          </wp:inline>
        </w:drawing>
      </w:r>
    </w:p>
    <w:p>
      <w:pPr>
        <w:pStyle w:val="BodyText"/>
      </w:pPr>
      <w:r>
        <w:rPr>
          <w:bCs/>
          <w:b/>
        </w:rPr>
        <w:t xml:space="preserve">Figure S2.</w:t>
      </w:r>
      <w:r>
        <w:t xml:space="preserve"> </w:t>
      </w:r>
      <w:r>
        <w:t xml:space="preserve">Event-time profile, stacked over the six calendar changes with one-minute data: difference between the new and the old expiry weekday in eight-week bins (the bin before the change is the reference), with 95% confidence intervals. A: whole session (five-minute realized variance). B: 15:00–15:30.</w:t>
      </w:r>
    </w:p>
    <w:p>
      <w:pPr>
        <w:pStyle w:val="BodyText"/>
      </w:pPr>
      <w:r>
        <w:drawing>
          <wp:inline>
            <wp:extent cx="5334000" cy="4641189"/>
            <wp:effectExtent b="0" l="0" r="0" t="0"/>
            <wp:docPr descr="" title="" id="38" name="Picture"/>
            <a:graphic>
              <a:graphicData uri="http://schemas.openxmlformats.org/drawingml/2006/picture">
                <pic:pic>
                  <pic:nvPicPr>
                    <pic:cNvPr descr="../figures/figA1_moving_day.png" id="39" name="Picture"/>
                    <pic:cNvPicPr>
                      <a:picLocks noChangeArrowheads="1" noChangeAspect="1"/>
                    </pic:cNvPicPr>
                  </pic:nvPicPr>
                  <pic:blipFill>
                    <a:blip r:embed="rId37"/>
                    <a:stretch>
                      <a:fillRect/>
                    </a:stretch>
                  </pic:blipFill>
                  <pic:spPr bwMode="auto">
                    <a:xfrm>
                      <a:off x="0" y="0"/>
                      <a:ext cx="5334000" cy="4641189"/>
                    </a:xfrm>
                    <a:prstGeom prst="rect">
                      <a:avLst/>
                    </a:prstGeom>
                    <a:noFill/>
                    <a:ln w="9525">
                      <a:noFill/>
                      <a:headEnd/>
                      <a:tailEnd/>
                    </a:ln>
                  </pic:spPr>
                </pic:pic>
              </a:graphicData>
            </a:graphic>
          </wp:inline>
        </w:drawing>
      </w:r>
    </w:p>
    <w:p>
      <w:pPr>
        <w:pStyle w:val="BodyText"/>
      </w:pPr>
      <w:r>
        <w:rPr>
          <w:bCs/>
          <w:b/>
        </w:rPr>
        <w:t xml:space="preserve">Figure S3.</w:t>
      </w:r>
      <w:r>
        <w:t xml:space="preserve"> </w:t>
      </w:r>
      <w:r>
        <w:t xml:space="preserve">Whole-session volatility (log Garman–Klass variance) on each weekday relative to the rest of its week, 26 weeks before and after the eight major calendar changes. Unlike the settlement window (main text, Figure 1), the weekday profile does not consistently follow the expiry day.</w:t>
      </w:r>
    </w:p>
    <w:p>
      <w:pPr>
        <w:pStyle w:val="BodyText"/>
      </w:pPr>
      <w:r>
        <w:drawing>
          <wp:inline>
            <wp:extent cx="3733800" cy="1829764"/>
            <wp:effectExtent b="0" l="0" r="0" t="0"/>
            <wp:docPr descr="" title="" id="41" name="Picture"/>
            <a:graphic>
              <a:graphicData uri="http://schemas.openxmlformats.org/drawingml/2006/picture">
                <pic:pic>
                  <pic:nvPicPr>
                    <pic:cNvPr descr="../figures/figA2_placebo_last30.png" id="42" name="Picture"/>
                    <pic:cNvPicPr>
                      <a:picLocks noChangeArrowheads="1" noChangeAspect="1"/>
                    </pic:cNvPicPr>
                  </pic:nvPicPr>
                  <pic:blipFill>
                    <a:blip r:embed="rId40"/>
                    <a:stretch>
                      <a:fillRect/>
                    </a:stretch>
                  </pic:blipFill>
                  <pic:spPr bwMode="auto">
                    <a:xfrm>
                      <a:off x="0" y="0"/>
                      <a:ext cx="3733800" cy="1829764"/>
                    </a:xfrm>
                    <a:prstGeom prst="rect">
                      <a:avLst/>
                    </a:prstGeom>
                    <a:noFill/>
                    <a:ln w="9525">
                      <a:noFill/>
                      <a:headEnd/>
                      <a:tailEnd/>
                    </a:ln>
                  </pic:spPr>
                </pic:pic>
              </a:graphicData>
            </a:graphic>
          </wp:inline>
        </w:drawing>
      </w:r>
    </w:p>
    <w:p>
      <w:pPr>
        <w:pStyle w:val="BodyText"/>
      </w:pPr>
      <w:r>
        <w:rPr>
          <w:bCs/>
          <w:b/>
        </w:rPr>
        <w:t xml:space="preserve">Figure S4.</w:t>
      </w:r>
      <w:r>
        <w:t xml:space="preserve"> </w:t>
      </w:r>
      <w:r>
        <w:t xml:space="preserve">Distribution of the weekly-expiry effect on 15:00–15:30 variance under 1,000 placebo calendars; the vertical line is the estimate under the true calendar.</w:t>
      </w:r>
    </w:p>
    <w:bookmarkEnd w:id="43"/>
    <w:bookmarkStart w:id="55" w:name="bibliography"/>
    <w:p>
      <w:pPr>
        <w:pStyle w:val="Heading1"/>
      </w:pPr>
      <w:r>
        <w:t xml:space="preserve">References</w:t>
      </w:r>
    </w:p>
    <w:bookmarkStart w:id="54" w:name="refs"/>
    <w:bookmarkStart w:id="45" w:name="ref-corsi2009"/>
    <w:p>
      <w:pPr>
        <w:pStyle w:val="Bibliography"/>
      </w:pPr>
      <w:r>
        <w:t xml:space="preserve">Corsi, F. (2009). A simple approximate long-memory model of realized volatility.</w:t>
      </w:r>
      <w:r>
        <w:t xml:space="preserve"> </w:t>
      </w:r>
      <w:r>
        <w:rPr>
          <w:iCs/>
          <w:i/>
        </w:rPr>
        <w:t xml:space="preserve">Journal of Financial Econometrics</w:t>
      </w:r>
      <w:r>
        <w:t xml:space="preserve">,</w:t>
      </w:r>
      <w:r>
        <w:t xml:space="preserve"> </w:t>
      </w:r>
      <w:r>
        <w:rPr>
          <w:iCs/>
          <w:i/>
        </w:rPr>
        <w:t xml:space="preserve">7</w:t>
      </w:r>
      <w:r>
        <w:t xml:space="preserve">(2), 174–196.</w:t>
      </w:r>
      <w:r>
        <w:t xml:space="preserve"> </w:t>
      </w:r>
      <w:hyperlink r:id="rId44">
        <w:r>
          <w:rPr>
            <w:rStyle w:val="Hyperlink"/>
          </w:rPr>
          <w:t xml:space="preserve">https://doi.org/10.1093/jjfinec/nbp001</w:t>
        </w:r>
      </w:hyperlink>
    </w:p>
    <w:bookmarkEnd w:id="45"/>
    <w:bookmarkStart w:id="47" w:name="ref-diebold1995"/>
    <w:p>
      <w:pPr>
        <w:pStyle w:val="Bibliography"/>
      </w:pPr>
      <w:r>
        <w:t xml:space="preserve">Diebold, F. X., &amp; Mariano, R. S. (1995). Comparing predictive accuracy.</w:t>
      </w:r>
      <w:r>
        <w:t xml:space="preserve"> </w:t>
      </w:r>
      <w:r>
        <w:rPr>
          <w:iCs/>
          <w:i/>
        </w:rPr>
        <w:t xml:space="preserve">Journal of Business &amp; Economic Statistics</w:t>
      </w:r>
      <w:r>
        <w:t xml:space="preserve">,</w:t>
      </w:r>
      <w:r>
        <w:t xml:space="preserve"> </w:t>
      </w:r>
      <w:r>
        <w:rPr>
          <w:iCs/>
          <w:i/>
        </w:rPr>
        <w:t xml:space="preserve">13</w:t>
      </w:r>
      <w:r>
        <w:t xml:space="preserve">(3), 253–263.</w:t>
      </w:r>
      <w:r>
        <w:t xml:space="preserve"> </w:t>
      </w:r>
      <w:hyperlink r:id="rId46">
        <w:r>
          <w:rPr>
            <w:rStyle w:val="Hyperlink"/>
          </w:rPr>
          <w:t xml:space="preserve">https://doi.org/10.1080/07350015.1995.10524599</w:t>
        </w:r>
      </w:hyperlink>
    </w:p>
    <w:bookmarkEnd w:id="47"/>
    <w:bookmarkStart w:id="49" w:name="ref-parkinson1980"/>
    <w:p>
      <w:pPr>
        <w:pStyle w:val="Bibliography"/>
      </w:pPr>
      <w:r>
        <w:t xml:space="preserve">Parkinson, M. (1980). The extreme value method for estimating the variance of the rate of return.</w:t>
      </w:r>
      <w:r>
        <w:t xml:space="preserve"> </w:t>
      </w:r>
      <w:r>
        <w:rPr>
          <w:iCs/>
          <w:i/>
        </w:rPr>
        <w:t xml:space="preserve">Journal of Business</w:t>
      </w:r>
      <w:r>
        <w:t xml:space="preserve">,</w:t>
      </w:r>
      <w:r>
        <w:t xml:space="preserve"> </w:t>
      </w:r>
      <w:r>
        <w:rPr>
          <w:iCs/>
          <w:i/>
        </w:rPr>
        <w:t xml:space="preserve">53</w:t>
      </w:r>
      <w:r>
        <w:t xml:space="preserve">(1), 61–65.</w:t>
      </w:r>
      <w:r>
        <w:t xml:space="preserve"> </w:t>
      </w:r>
      <w:hyperlink r:id="rId48">
        <w:r>
          <w:rPr>
            <w:rStyle w:val="Hyperlink"/>
          </w:rPr>
          <w:t xml:space="preserve">https://doi.org/10.1086/296071</w:t>
        </w:r>
      </w:hyperlink>
    </w:p>
    <w:bookmarkEnd w:id="49"/>
    <w:bookmarkStart w:id="51" w:name="ref-patton2011"/>
    <w:p>
      <w:pPr>
        <w:pStyle w:val="Bibliography"/>
      </w:pPr>
      <w:r>
        <w:t xml:space="preserve">Patton, A. J. (2011). Volatility forecast comparison using imperfect volatility proxies.</w:t>
      </w:r>
      <w:r>
        <w:t xml:space="preserve"> </w:t>
      </w:r>
      <w:r>
        <w:rPr>
          <w:iCs/>
          <w:i/>
        </w:rPr>
        <w:t xml:space="preserve">Journal of Econometrics</w:t>
      </w:r>
      <w:r>
        <w:t xml:space="preserve">,</w:t>
      </w:r>
      <w:r>
        <w:t xml:space="preserve"> </w:t>
      </w:r>
      <w:r>
        <w:rPr>
          <w:iCs/>
          <w:i/>
        </w:rPr>
        <w:t xml:space="preserve">160</w:t>
      </w:r>
      <w:r>
        <w:t xml:space="preserve">(1), 246–256.</w:t>
      </w:r>
      <w:r>
        <w:t xml:space="preserve"> </w:t>
      </w:r>
      <w:hyperlink r:id="rId50">
        <w:r>
          <w:rPr>
            <w:rStyle w:val="Hyperlink"/>
          </w:rPr>
          <w:t xml:space="preserve">https://doi.org/10.1016/j.jeconom.2010.03.034</w:t>
        </w:r>
      </w:hyperlink>
    </w:p>
    <w:bookmarkEnd w:id="51"/>
    <w:bookmarkStart w:id="53" w:name="ref-rogers1991"/>
    <w:p>
      <w:pPr>
        <w:pStyle w:val="Bibliography"/>
      </w:pPr>
      <w:r>
        <w:t xml:space="preserve">Rogers, L. C. G., &amp; Satchell, S. E. (1991). Estimating variance from high, low and closing prices.</w:t>
      </w:r>
      <w:r>
        <w:t xml:space="preserve"> </w:t>
      </w:r>
      <w:r>
        <w:rPr>
          <w:iCs/>
          <w:i/>
        </w:rPr>
        <w:t xml:space="preserve">Annals of Applied Probability</w:t>
      </w:r>
      <w:r>
        <w:t xml:space="preserve">,</w:t>
      </w:r>
      <w:r>
        <w:t xml:space="preserve"> </w:t>
      </w:r>
      <w:r>
        <w:rPr>
          <w:iCs/>
          <w:i/>
        </w:rPr>
        <w:t xml:space="preserve">1</w:t>
      </w:r>
      <w:r>
        <w:t xml:space="preserve">(4), 504–512.</w:t>
      </w:r>
      <w:r>
        <w:t xml:space="preserve"> </w:t>
      </w:r>
      <w:hyperlink r:id="rId52">
        <w:r>
          <w:rPr>
            <w:rStyle w:val="Hyperlink"/>
          </w:rPr>
          <w:t xml:space="preserve">https://doi.org/10.1214/aoap/1177005835</w:t>
        </w:r>
      </w:hyperlink>
    </w:p>
    <w:bookmarkEnd w:id="53"/>
    <w:bookmarkEnd w:id="54"/>
    <w:bookmarkEnd w:id="55"/>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20" w:before="20"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sz w:val="20"/>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hyperlink" Id="rId50" Target="https://doi.org/10.1016/j.jeconom.2010.03.034" TargetMode="External" /><Relationship Type="http://schemas.openxmlformats.org/officeDocument/2006/relationships/hyperlink" Id="rId46" Target="https://doi.org/10.1080/07350015.1995.10524599" TargetMode="External" /><Relationship Type="http://schemas.openxmlformats.org/officeDocument/2006/relationships/hyperlink" Id="rId48" Target="https://doi.org/10.1086/296071" TargetMode="External" /><Relationship Type="http://schemas.openxmlformats.org/officeDocument/2006/relationships/hyperlink" Id="rId44" Target="https://doi.org/10.1093/jjfinec/nbp001" TargetMode="External" /><Relationship Type="http://schemas.openxmlformats.org/officeDocument/2006/relationships/hyperlink" Id="rId52" Target="https://doi.org/10.1214/aoap/1177005835"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16/j.jeconom.2010.03.034" TargetMode="External" /><Relationship Type="http://schemas.openxmlformats.org/officeDocument/2006/relationships/hyperlink" Id="rId46" Target="https://doi.org/10.1080/07350015.1995.10524599" TargetMode="External" /><Relationship Type="http://schemas.openxmlformats.org/officeDocument/2006/relationships/hyperlink" Id="rId48" Target="https://doi.org/10.1086/296071" TargetMode="External" /><Relationship Type="http://schemas.openxmlformats.org/officeDocument/2006/relationships/hyperlink" Id="rId44" Target="https://doi.org/10.1093/jjfinec/nbp001" TargetMode="External" /><Relationship Type="http://schemas.openxmlformats.org/officeDocument/2006/relationships/hyperlink" Id="rId52" Target="https://doi.org/10.1214/aoap/11770058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Expiry Moves the Close, Not the Day: Natural Experiments from India’s Changing Options Expiry Calendar</dc:title>
  <dc:creator/>
  <cp:keywords/>
  <dcterms:created xsi:type="dcterms:W3CDTF">2026-10-02T11:04:05Z</dcterms:created>
  <dcterms:modified xsi:type="dcterms:W3CDTF">2026-10-02T11:04:05Z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references.json</vt:lpwstr>
  </property>
  <property fmtid="{D5CDD505-2E9C-101B-9397-08002B2CF9AE}" pid="3" name="csl">
    <vt:lpwstr>apa.csl</vt:lpwstr>
  </property>
  <property fmtid="{D5CDD505-2E9C-101B-9397-08002B2CF9AE}" pid="4" name="reference-section-title">
    <vt:lpwstr>References</vt:lpwstr>
  </property>
</Properties>
</file>