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7A044D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6044" w:history="1">
            <w:r w:rsidR="007A044D" w:rsidRPr="00A432DA">
              <w:rPr>
                <w:rStyle w:val="Hipervnculo"/>
                <w:rFonts w:cstheme="minorHAnsi"/>
                <w:noProof/>
              </w:rPr>
              <w:t>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Exfida.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5" w:history="1">
            <w:r w:rsidR="007A044D" w:rsidRPr="00A432DA">
              <w:rPr>
                <w:rStyle w:val="Hipervnculo"/>
                <w:rFonts w:cstheme="minorHAnsi"/>
                <w:noProof/>
              </w:rPr>
              <w:t>1.1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6" w:history="1">
            <w:r w:rsidR="007A044D" w:rsidRPr="00A432DA">
              <w:rPr>
                <w:rStyle w:val="Hipervnculo"/>
                <w:rFonts w:cstheme="minorHAnsi"/>
                <w:noProof/>
              </w:rPr>
              <w:t>1.2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7" w:history="1">
            <w:r w:rsidR="007A044D" w:rsidRPr="00A432DA">
              <w:rPr>
                <w:rStyle w:val="Hipervnculo"/>
                <w:rFonts w:cstheme="minorHAnsi"/>
                <w:noProof/>
              </w:rPr>
              <w:t>1.2.1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Especificaciones técnicas.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8" w:history="1">
            <w:r w:rsidR="007A044D" w:rsidRPr="00A432DA">
              <w:rPr>
                <w:rStyle w:val="Hipervnculo"/>
                <w:rFonts w:cstheme="minorHAnsi"/>
                <w:noProof/>
              </w:rPr>
              <w:t>1.2.2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6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9" w:history="1">
            <w:r w:rsidR="007A044D" w:rsidRPr="00A432DA">
              <w:rPr>
                <w:rStyle w:val="Hipervnculo"/>
                <w:rFonts w:cstheme="minorHAnsi"/>
                <w:noProof/>
              </w:rPr>
              <w:t>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0" w:history="1">
            <w:r w:rsidR="007A044D" w:rsidRPr="00A432DA">
              <w:rPr>
                <w:rStyle w:val="Hipervnculo"/>
                <w:rFonts w:cstheme="minorHAnsi"/>
                <w:noProof/>
              </w:rPr>
              <w:t>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Términos de Soporte (SLA):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1" w:history="1">
            <w:r w:rsidR="007A044D" w:rsidRPr="00A432DA">
              <w:rPr>
                <w:rStyle w:val="Hipervnculo"/>
                <w:rFonts w:cstheme="minorHAnsi"/>
                <w:noProof/>
              </w:rPr>
              <w:t>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2" w:history="1">
            <w:r w:rsidR="007A044D" w:rsidRPr="00A432DA">
              <w:rPr>
                <w:rStyle w:val="Hipervnculo"/>
                <w:rFonts w:cstheme="minorHAnsi"/>
                <w:noProof/>
              </w:rPr>
              <w:t>2.2.1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3" w:history="1">
            <w:r w:rsidR="007A044D" w:rsidRPr="00A432DA">
              <w:rPr>
                <w:rStyle w:val="Hipervnculo"/>
                <w:rFonts w:cstheme="minorHAnsi"/>
                <w:noProof/>
              </w:rPr>
              <w:t>2.2.2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4" w:history="1">
            <w:r w:rsidR="007A044D" w:rsidRPr="00A432DA">
              <w:rPr>
                <w:rStyle w:val="Hipervnculo"/>
                <w:rFonts w:cstheme="minorHAnsi"/>
                <w:noProof/>
              </w:rPr>
              <w:t>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5" w:history="1">
            <w:r w:rsidR="007A044D" w:rsidRPr="00A432DA">
              <w:rPr>
                <w:rStyle w:val="Hipervnculo"/>
                <w:rFonts w:cstheme="minorHAnsi"/>
                <w:noProof/>
              </w:rPr>
              <w:t>3.1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6" w:history="1">
            <w:r w:rsidR="007A044D" w:rsidRPr="00A432DA">
              <w:rPr>
                <w:rStyle w:val="Hipervnculo"/>
                <w:rFonts w:cstheme="minorHAnsi"/>
                <w:noProof/>
              </w:rPr>
              <w:t>3.2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Entregables.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7" w:history="1">
            <w:r w:rsidR="007A044D" w:rsidRPr="00A432DA">
              <w:rPr>
                <w:rStyle w:val="Hipervnculo"/>
                <w:rFonts w:cstheme="minorHAnsi"/>
                <w:noProof/>
              </w:rPr>
              <w:t>3.3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Planificación de Actividades.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11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8" w:history="1">
            <w:r w:rsidR="007A044D" w:rsidRPr="00A432DA">
              <w:rPr>
                <w:rStyle w:val="Hipervnculo"/>
                <w:rFonts w:cstheme="minorHAnsi"/>
                <w:noProof/>
              </w:rPr>
              <w:t>3.4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Recursos Requeridos.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9" w:history="1">
            <w:r w:rsidR="007A044D" w:rsidRPr="00A432DA">
              <w:rPr>
                <w:rStyle w:val="Hipervnculo"/>
                <w:rFonts w:cstheme="minorHAnsi"/>
                <w:noProof/>
              </w:rPr>
              <w:t>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Trial.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0" w:history="1">
            <w:r w:rsidR="007A044D" w:rsidRPr="00A432DA">
              <w:rPr>
                <w:rStyle w:val="Hipervnculo"/>
                <w:rFonts w:cstheme="minorHAnsi"/>
                <w:noProof/>
              </w:rPr>
              <w:t>5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Propuesta económica.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1" w:history="1">
            <w:r w:rsidR="007A044D" w:rsidRPr="00A432DA">
              <w:rPr>
                <w:rStyle w:val="Hipervnculo"/>
                <w:rFonts w:cstheme="minorHAnsi"/>
                <w:noProof/>
              </w:rPr>
              <w:t>5.1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2" w:history="1">
            <w:r w:rsidR="007A044D" w:rsidRPr="00A432DA">
              <w:rPr>
                <w:rStyle w:val="Hipervnculo"/>
                <w:rFonts w:cstheme="minorHAnsi"/>
                <w:noProof/>
              </w:rPr>
              <w:t>5.2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3" w:history="1">
            <w:r w:rsidR="007A044D" w:rsidRPr="00A432DA">
              <w:rPr>
                <w:rStyle w:val="Hipervnculo"/>
                <w:rFonts w:cstheme="minorHAnsi"/>
                <w:noProof/>
              </w:rPr>
              <w:t>5.3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Modalidad de pago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BA0D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4" w:history="1">
            <w:r w:rsidR="007A044D" w:rsidRPr="00A432DA">
              <w:rPr>
                <w:rStyle w:val="Hipervnculo"/>
                <w:rFonts w:cstheme="minorHAnsi"/>
                <w:noProof/>
              </w:rPr>
              <w:t>5.4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Garantía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46044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46045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A0DF0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604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46047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604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proofErr w:type="spellStart"/>
      <w:r>
        <w:t>Standart</w:t>
      </w:r>
      <w:proofErr w:type="spellEnd"/>
      <w:r>
        <w:t xml:space="preserve"> Edition 1.6.x y  contenedor de </w:t>
      </w:r>
      <w:proofErr w:type="spellStart"/>
      <w:r>
        <w:t>EJB</w:t>
      </w:r>
      <w:r w:rsidR="00EB7AEF">
        <w:t>´s</w:t>
      </w:r>
      <w:proofErr w:type="spellEnd"/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</w:t>
      </w:r>
      <w:proofErr w:type="spellStart"/>
      <w:r w:rsidR="009E2887">
        <w:t>clusterizado</w:t>
      </w:r>
      <w:proofErr w:type="spellEnd"/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5" w:name="_Toc336846049"/>
      <w:r w:rsidRPr="00207B05">
        <w:rPr>
          <w:rFonts w:asciiTheme="minorHAnsi" w:hAnsiTheme="minorHAnsi" w:cstheme="minorHAnsi"/>
        </w:rPr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4605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6051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46052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6053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0" w:name="_Toc33684605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46055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AA116C" w:rsidP="00497674">
      <w:pPr>
        <w:pStyle w:val="Prrafodelista"/>
        <w:numPr>
          <w:ilvl w:val="0"/>
          <w:numId w:val="8"/>
        </w:numPr>
        <w:jc w:val="both"/>
      </w:pPr>
      <w:r>
        <w:t xml:space="preserve">Entrega del Modulo de Emisión de XBRL en la fecha acordada según Roadmap del Producto, </w:t>
      </w:r>
      <w:r w:rsidRPr="00AA116C">
        <w:rPr>
          <w:b/>
        </w:rPr>
        <w:t>Fecha de entrega</w:t>
      </w:r>
      <w:r>
        <w:t>: 15 de Noviembre de 2012.</w:t>
      </w:r>
      <w:bookmarkStart w:id="12" w:name="_GoBack"/>
      <w:bookmarkEnd w:id="12"/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6056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605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4605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605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46060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4606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00815" w:rsidTr="000E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Funcionalidades Adicionales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D3DBB">
              <w:rPr>
                <w:rFonts w:asciiTheme="minorHAnsi" w:hAnsiTheme="minorHAnsi" w:cstheme="minorHAnsi"/>
                <w:b/>
                <w:u w:val="single"/>
              </w:rPr>
              <w:t>sin costo para CONSORCIO</w:t>
            </w:r>
            <w:r w:rsidRPr="005D3DBB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 xml:space="preserve">en el modulo de Emisión de XBRL. Para todas las empresas que requieran utilizarlo. El valor de la licencia no considera descuentos por la </w:t>
      </w:r>
      <w:r w:rsidR="00E2252F" w:rsidRPr="0014104B">
        <w:rPr>
          <w:b/>
          <w:u w:val="single"/>
        </w:rPr>
        <w:t>no emisión de XBRL</w:t>
      </w:r>
      <w:r w:rsidR="00E2252F">
        <w:t xml:space="preserve"> por el RUT.</w:t>
      </w:r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9" w:name="_Toc33684606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9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6063"/>
      <w:r w:rsidRPr="001C2246">
        <w:rPr>
          <w:rFonts w:asciiTheme="minorHAnsi" w:hAnsiTheme="minorHAnsi" w:cstheme="minorHAnsi"/>
        </w:rPr>
        <w:t>Modalidad de pago</w:t>
      </w:r>
      <w:bookmarkEnd w:id="20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46064"/>
      <w:r w:rsidRPr="001C2246">
        <w:rPr>
          <w:rFonts w:asciiTheme="minorHAnsi" w:hAnsiTheme="minorHAnsi" w:cstheme="minorHAnsi"/>
        </w:rPr>
        <w:t>Garantía</w:t>
      </w:r>
      <w:bookmarkEnd w:id="21"/>
      <w:r w:rsidR="007B5D87">
        <w:rPr>
          <w:rFonts w:asciiTheme="minorHAnsi" w:hAnsiTheme="minorHAnsi" w:cstheme="minorHAnsi"/>
        </w:rPr>
        <w:br/>
      </w:r>
    </w:p>
    <w:p w:rsidR="009A581D" w:rsidRPr="00CE4C34" w:rsidRDefault="0009137E" w:rsidP="00497674">
      <w:pPr>
        <w:jc w:val="both"/>
        <w:rPr>
          <w:rFonts w:cstheme="minorHAnsi"/>
        </w:rPr>
      </w:pPr>
      <w:r>
        <w:rPr>
          <w:rFonts w:cstheme="minorHAnsi"/>
        </w:rPr>
        <w:t>Mientras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F0" w:rsidRDefault="00BA0DF0" w:rsidP="00365DCD">
      <w:pPr>
        <w:spacing w:after="0" w:line="240" w:lineRule="auto"/>
      </w:pPr>
      <w:r>
        <w:separator/>
      </w:r>
    </w:p>
  </w:endnote>
  <w:endnote w:type="continuationSeparator" w:id="0">
    <w:p w:rsidR="00BA0DF0" w:rsidRDefault="00BA0DF0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E" w:rsidRPr="00EF070E" w:rsidRDefault="00EF070E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AA116C" w:rsidRPr="00AA116C">
      <w:rPr>
        <w:noProof/>
        <w:sz w:val="14"/>
        <w:szCs w:val="16"/>
        <w:lang w:val="es-ES"/>
      </w:rPr>
      <w:t>10</w:t>
    </w:r>
    <w:r w:rsidRPr="00EF070E">
      <w:rPr>
        <w:sz w:val="14"/>
        <w:szCs w:val="16"/>
      </w:rPr>
      <w:fldChar w:fldCharType="end"/>
    </w:r>
  </w:p>
  <w:p w:rsidR="00A839E8" w:rsidRPr="00EF070E" w:rsidRDefault="00A839E8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</w:t>
    </w:r>
    <w:r w:rsidR="00422211" w:rsidRPr="00EF070E">
      <w:rPr>
        <w:b/>
        <w:bCs/>
        <w:color w:val="808080" w:themeColor="background1" w:themeShade="80"/>
        <w:sz w:val="14"/>
        <w:szCs w:val="16"/>
      </w:rPr>
      <w:t xml:space="preserve"> </w:t>
    </w:r>
    <w:r w:rsidRPr="00EF070E">
      <w:rPr>
        <w:b/>
        <w:bCs/>
        <w:color w:val="808080" w:themeColor="background1" w:themeShade="80"/>
        <w:sz w:val="14"/>
        <w:szCs w:val="16"/>
      </w:rPr>
      <w:t>LTDA.</w:t>
    </w:r>
  </w:p>
  <w:p w:rsidR="00422211" w:rsidRPr="00EF070E" w:rsidRDefault="00A839E8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A839E8" w:rsidRDefault="00BA0DF0" w:rsidP="00A839E8">
    <w:pPr>
      <w:pStyle w:val="Piedepgina"/>
      <w:jc w:val="center"/>
      <w:rPr>
        <w:sz w:val="14"/>
        <w:szCs w:val="16"/>
      </w:rPr>
    </w:pPr>
    <w:hyperlink r:id="rId1" w:history="1">
      <w:r w:rsidR="00A839E8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F0" w:rsidRDefault="00BA0DF0" w:rsidP="00365DCD">
      <w:pPr>
        <w:spacing w:after="0" w:line="240" w:lineRule="auto"/>
      </w:pPr>
      <w:r>
        <w:separator/>
      </w:r>
    </w:p>
  </w:footnote>
  <w:footnote w:type="continuationSeparator" w:id="0">
    <w:p w:rsidR="00BA0DF0" w:rsidRDefault="00BA0DF0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2F" w:rsidRDefault="00E2252F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E2252F" w:rsidTr="0082105F">
      <w:tc>
        <w:tcPr>
          <w:tcW w:w="4381" w:type="dxa"/>
          <w:vAlign w:val="center"/>
        </w:tcPr>
        <w:p w:rsidR="00E2252F" w:rsidRDefault="00E2252F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E2252F" w:rsidRDefault="00E2252F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2252F" w:rsidRDefault="00E2252F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C6382"/>
    <w:rsid w:val="000E50C6"/>
    <w:rsid w:val="001042BE"/>
    <w:rsid w:val="00112F4D"/>
    <w:rsid w:val="001211CC"/>
    <w:rsid w:val="001354C6"/>
    <w:rsid w:val="0014104B"/>
    <w:rsid w:val="0015257E"/>
    <w:rsid w:val="001B2E11"/>
    <w:rsid w:val="001C2246"/>
    <w:rsid w:val="001C2303"/>
    <w:rsid w:val="001D574D"/>
    <w:rsid w:val="00207B05"/>
    <w:rsid w:val="00275553"/>
    <w:rsid w:val="002908CD"/>
    <w:rsid w:val="002A43E2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7647D"/>
    <w:rsid w:val="00497674"/>
    <w:rsid w:val="004B6370"/>
    <w:rsid w:val="004D2D6B"/>
    <w:rsid w:val="005401EB"/>
    <w:rsid w:val="005429C5"/>
    <w:rsid w:val="0054304A"/>
    <w:rsid w:val="00545C84"/>
    <w:rsid w:val="00547989"/>
    <w:rsid w:val="005D3DBB"/>
    <w:rsid w:val="005D7877"/>
    <w:rsid w:val="006217B1"/>
    <w:rsid w:val="006222B2"/>
    <w:rsid w:val="006615E2"/>
    <w:rsid w:val="00671635"/>
    <w:rsid w:val="00695DDF"/>
    <w:rsid w:val="006E7F9A"/>
    <w:rsid w:val="007042EE"/>
    <w:rsid w:val="00706BA8"/>
    <w:rsid w:val="00712914"/>
    <w:rsid w:val="00721B80"/>
    <w:rsid w:val="00773EAC"/>
    <w:rsid w:val="007A044D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E4C34"/>
    <w:rsid w:val="00D817D5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3501C-FFE2-4230-BFCE-DB2110E0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2512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3</cp:revision>
  <cp:lastPrinted>2012-10-01T12:12:00Z</cp:lastPrinted>
  <dcterms:created xsi:type="dcterms:W3CDTF">2012-10-01T12:16:00Z</dcterms:created>
  <dcterms:modified xsi:type="dcterms:W3CDTF">2012-10-01T12:34:00Z</dcterms:modified>
</cp:coreProperties>
</file>