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</w:t>
      </w:r>
      <w:r w:rsidR="00C8227A">
        <w:rPr>
          <w:sz w:val="32"/>
        </w:rPr>
        <w:t>CORPSEGUROS</w:t>
      </w:r>
      <w:r w:rsidR="00365DCD" w:rsidRPr="00FC6C8E">
        <w:rPr>
          <w:sz w:val="32"/>
        </w:rPr>
        <w:t>.</w:t>
      </w:r>
    </w:p>
    <w:p w:rsidR="00F0741B" w:rsidRPr="00C8227A" w:rsidRDefault="00C8227A" w:rsidP="00C8227A">
      <w:pPr>
        <w:pStyle w:val="Prrafodelista"/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 wp14:anchorId="502A9956" wp14:editId="59074AC7">
            <wp:extent cx="2208810" cy="33251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0593" b="-630"/>
                    <a:stretch/>
                  </pic:blipFill>
                  <pic:spPr bwMode="auto">
                    <a:xfrm>
                      <a:off x="0" y="0"/>
                      <a:ext cx="2211559" cy="33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361D2A45" wp14:editId="17EB6280">
            <wp:extent cx="320634" cy="401676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4280" t="-21564" b="-1"/>
                    <a:stretch/>
                  </pic:blipFill>
                  <pic:spPr bwMode="auto">
                    <a:xfrm>
                      <a:off x="0" y="0"/>
                      <a:ext cx="321033" cy="40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C8227A">
        <w:rPr>
          <w:rFonts w:asciiTheme="minorHAnsi" w:hAnsiTheme="minorHAnsi" w:cstheme="minorHAnsi"/>
          <w:sz w:val="20"/>
          <w:szCs w:val="20"/>
          <w:lang w:val="es-CL"/>
        </w:rPr>
        <w:t>22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C8227A">
        <w:rPr>
          <w:rFonts w:cstheme="minorHAnsi"/>
          <w:b/>
          <w:color w:val="000000"/>
        </w:rPr>
        <w:t>CORPSEGUROS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C8227A" w:rsidP="00497674">
      <w:pPr>
        <w:spacing w:line="240" w:lineRule="atLeast"/>
        <w:rPr>
          <w:rFonts w:cstheme="minorHAnsi"/>
        </w:rPr>
      </w:pPr>
      <w:r>
        <w:rPr>
          <w:rFonts w:cstheme="minorHAnsi"/>
          <w:color w:val="000000"/>
        </w:rPr>
        <w:t>At. Juan Pineda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C8227A">
        <w:rPr>
          <w:rFonts w:asciiTheme="minorHAnsi" w:hAnsiTheme="minorHAnsi" w:cstheme="minorHAnsi"/>
          <w:sz w:val="22"/>
          <w:szCs w:val="22"/>
          <w:lang w:val="es-CL"/>
        </w:rPr>
        <w:t>de empresa CORPSEGUROS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6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11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920B5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0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0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1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1"/>
    </w:p>
    <w:p w:rsidR="00E10AFF" w:rsidRPr="00FC6C8E" w:rsidRDefault="00E10AFF" w:rsidP="00497674">
      <w:pPr>
        <w:jc w:val="both"/>
      </w:pPr>
    </w:p>
    <w:p w:rsidR="00C16C48" w:rsidRPr="00FC6C8E" w:rsidRDefault="00E10AFF" w:rsidP="00080F05">
      <w:pPr>
        <w:pStyle w:val="Prrafodelista"/>
        <w:numPr>
          <w:ilvl w:val="0"/>
          <w:numId w:val="1"/>
        </w:numPr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920B52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F0741B" w:rsidRPr="00F243DA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2"/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3" w:name="_Toc336851741"/>
      <w:r w:rsidRPr="00FC6C8E">
        <w:rPr>
          <w:rFonts w:asciiTheme="minorHAnsi" w:hAnsiTheme="minorHAnsi" w:cstheme="minorHAnsi"/>
        </w:rPr>
        <w:t>Especificaciones técnicas.</w:t>
      </w:r>
      <w:bookmarkEnd w:id="3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>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Pr="00FC6C8E">
        <w:t xml:space="preserve"> 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Sybase</w:t>
      </w:r>
      <w:proofErr w:type="spellEnd"/>
      <w:r w:rsidRPr="00FC6C8E">
        <w:t xml:space="preserve">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PostgreSQL</w:t>
      </w:r>
      <w:proofErr w:type="spellEnd"/>
      <w:r w:rsidRPr="00FC6C8E">
        <w:t xml:space="preserve">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MySql</w:t>
      </w:r>
      <w:proofErr w:type="spellEnd"/>
      <w:r w:rsidRPr="00FC6C8E">
        <w:t xml:space="preserve"> versión 5.1 o superior con </w:t>
      </w:r>
      <w:proofErr w:type="spellStart"/>
      <w:r w:rsidRPr="00FC6C8E">
        <w:t>InnoDB</w:t>
      </w:r>
      <w:proofErr w:type="spellEnd"/>
      <w:r w:rsidRPr="00FC6C8E">
        <w:t>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proofErr w:type="spellStart"/>
      <w:r w:rsidRPr="00FC6C8E">
        <w:t>Jboss</w:t>
      </w:r>
      <w:proofErr w:type="spellEnd"/>
      <w:r w:rsidRPr="00FC6C8E">
        <w:t xml:space="preserve"> </w:t>
      </w:r>
      <w:proofErr w:type="spellStart"/>
      <w:r w:rsidRPr="00FC6C8E">
        <w:t>Aplication</w:t>
      </w:r>
      <w:proofErr w:type="spellEnd"/>
      <w:r w:rsidRPr="00FC6C8E">
        <w:t xml:space="preserve"> Server </w:t>
      </w:r>
      <w:r w:rsidR="00FD1B2E" w:rsidRPr="00FC6C8E">
        <w:t>versión</w:t>
      </w:r>
      <w:r w:rsidRPr="00FC6C8E">
        <w:t xml:space="preserve"> 7.1</w:t>
      </w:r>
    </w:p>
    <w:p w:rsidR="001B2E11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 xml:space="preserve">Glassfish Aplication Server </w:t>
      </w:r>
      <w:r w:rsidRPr="00080F05">
        <w:t>versi</w:t>
      </w:r>
      <w:r w:rsidR="00080F05" w:rsidRPr="00080F05">
        <w:t>ó</w:t>
      </w:r>
      <w:r w:rsidRPr="00080F05">
        <w:t>n</w:t>
      </w:r>
      <w:r w:rsidRPr="001D574D">
        <w:rPr>
          <w:lang w:val="en-US"/>
        </w:rPr>
        <w:t xml:space="preserve"> 3.1.2</w:t>
      </w:r>
      <w:r w:rsidR="00AC0D6A">
        <w:rPr>
          <w:lang w:val="en-US"/>
        </w:rPr>
        <w:t>.2</w:t>
      </w:r>
    </w:p>
    <w:p w:rsidR="00080F05" w:rsidRPr="001D574D" w:rsidRDefault="00080F05" w:rsidP="00080F0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Web Sphere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Server </w:t>
      </w:r>
      <w:proofErr w:type="spellStart"/>
      <w:r w:rsidRPr="001D574D">
        <w:rPr>
          <w:lang w:val="en-US"/>
        </w:rPr>
        <w:t>versi</w:t>
      </w:r>
      <w:r>
        <w:rPr>
          <w:lang w:val="en-US"/>
        </w:rPr>
        <w:t>ó</w:t>
      </w:r>
      <w:r w:rsidRPr="001D574D">
        <w:rPr>
          <w:lang w:val="en-US"/>
        </w:rPr>
        <w:t>n</w:t>
      </w:r>
      <w:proofErr w:type="spellEnd"/>
      <w:r w:rsidRPr="001D574D">
        <w:rPr>
          <w:lang w:val="en-US"/>
        </w:rPr>
        <w:t xml:space="preserve"> </w:t>
      </w:r>
      <w:r>
        <w:rPr>
          <w:lang w:val="en-US"/>
        </w:rPr>
        <w:t>7.0</w:t>
      </w:r>
    </w:p>
    <w:p w:rsidR="00080F05" w:rsidRPr="001D574D" w:rsidRDefault="00080F05" w:rsidP="00080F05">
      <w:pPr>
        <w:pStyle w:val="Prrafodelista"/>
        <w:jc w:val="both"/>
        <w:rPr>
          <w:lang w:val="en-US"/>
        </w:rPr>
      </w:pP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4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5" w:name="_Toc336851743"/>
      <w:r>
        <w:rPr>
          <w:rFonts w:cstheme="minorHAnsi"/>
        </w:rPr>
        <w:br w:type="page"/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r w:rsidRPr="00207B05">
        <w:rPr>
          <w:rFonts w:asciiTheme="minorHAnsi" w:hAnsiTheme="minorHAnsi" w:cstheme="minorHAnsi"/>
        </w:rPr>
        <w:lastRenderedPageBreak/>
        <w:t>Licenciamiento y Soporte.</w:t>
      </w:r>
      <w:bookmarkEnd w:id="5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6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6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caso de que el cliente lo solicite y por problemas en la </w:t>
            </w:r>
            <w:r>
              <w:lastRenderedPageBreak/>
              <w:t>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lastRenderedPageBreak/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</w:t>
            </w:r>
            <w:r w:rsidR="00C842A6">
              <w:rPr>
                <w:rFonts w:cstheme="minorHAnsi"/>
              </w:rPr>
              <w:t xml:space="preserve"> </w:t>
            </w:r>
            <w:r w:rsidR="00C8227A" w:rsidRPr="00C8227A">
              <w:rPr>
                <w:rFonts w:cstheme="minorHAnsi"/>
              </w:rPr>
              <w:t>CORPSEGUROS</w:t>
            </w:r>
            <w:r>
              <w:rPr>
                <w:rFonts w:cstheme="minorHAnsi"/>
              </w:rPr>
              <w:t>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096EE1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96EE1">
              <w:rPr>
                <w:rFonts w:cstheme="minorHAnsi"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5"/>
      <w:r w:rsidRPr="00FE1B6E">
        <w:rPr>
          <w:rFonts w:asciiTheme="minorHAnsi" w:hAnsiTheme="minorHAnsi" w:cstheme="minorHAnsi"/>
        </w:rPr>
        <w:t>Mantenciones.</w:t>
      </w:r>
      <w:bookmarkEnd w:id="7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8" w:name="_Toc336851746"/>
      <w:r w:rsidRPr="00A07DD5">
        <w:rPr>
          <w:rFonts w:asciiTheme="minorHAnsi" w:hAnsiTheme="minorHAnsi" w:cstheme="minorHAnsi"/>
        </w:rPr>
        <w:t>Mantenciones por parte de MDR Technology</w:t>
      </w:r>
      <w:bookmarkEnd w:id="8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</w:t>
      </w:r>
      <w:proofErr w:type="spellStart"/>
      <w:r w:rsidR="009565B3">
        <w:t>roadmap</w:t>
      </w:r>
      <w:proofErr w:type="spellEnd"/>
      <w:r w:rsidR="009565B3">
        <w:t xml:space="preserve">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9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227A">
        <w:t>la empresa CORPSEGUROS</w:t>
      </w:r>
      <w:r w:rsidR="00C842A6">
        <w:t xml:space="preserve"> </w:t>
      </w:r>
      <w:r>
        <w:t>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10" w:name="_Toc336851748"/>
      <w:r>
        <w:rPr>
          <w:rFonts w:cstheme="minorHAnsi"/>
        </w:rPr>
        <w:br w:type="page"/>
      </w: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0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C8227A" w:rsidRPr="00C8227A">
        <w:t>CORPSEGUROS</w:t>
      </w:r>
      <w:r w:rsidR="009F695D">
        <w:t xml:space="preserve">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1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1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C8227A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 xml:space="preserve">evelaciones para las Compañías de Seguros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 xml:space="preserve">por parte de </w:t>
      </w:r>
      <w:r w:rsidR="00C8227A" w:rsidRPr="00C8227A">
        <w:rPr>
          <w:rFonts w:cstheme="minorHAnsi"/>
        </w:rPr>
        <w:t>CORPSEGUROS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0B4114">
        <w:t xml:space="preserve"> 2</w:t>
      </w:r>
      <w:r w:rsidR="008B6C42">
        <w:t xml:space="preserve"> </w:t>
      </w:r>
      <w:r w:rsidR="000B4114">
        <w:t>usuarios</w:t>
      </w:r>
      <w:r>
        <w:t xml:space="preserve"> de la aplicación</w:t>
      </w:r>
      <w:r w:rsidR="001C3DA3">
        <w:t>, por área de negocio</w:t>
      </w:r>
      <w:r>
        <w:t>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1C3DA3" w:rsidP="00497674">
      <w:pPr>
        <w:pStyle w:val="Prrafodelista"/>
        <w:numPr>
          <w:ilvl w:val="0"/>
          <w:numId w:val="8"/>
        </w:numPr>
        <w:jc w:val="both"/>
      </w:pPr>
      <w:r>
        <w:t>Entrega del Mó</w:t>
      </w:r>
      <w:r w:rsidR="00AA116C">
        <w:t xml:space="preserve">dulo de Emisión de XBRL en la fecha acordada según </w:t>
      </w:r>
      <w:proofErr w:type="spellStart"/>
      <w:r w:rsidR="00AA116C">
        <w:t>Roadmap</w:t>
      </w:r>
      <w:proofErr w:type="spellEnd"/>
      <w:r w:rsidR="00AA116C">
        <w:t xml:space="preserve"> del Producto, </w:t>
      </w:r>
      <w:r w:rsidR="00AA116C" w:rsidRPr="001C3DA3">
        <w:t>Fecha de entrega</w:t>
      </w:r>
      <w:r w:rsidR="00AA116C">
        <w:t xml:space="preserve">: </w:t>
      </w:r>
      <w:r w:rsidR="00080F05">
        <w:t>15</w:t>
      </w:r>
      <w:r w:rsidR="00AA116C">
        <w:t xml:space="preserve"> de </w:t>
      </w:r>
      <w:r w:rsidR="00080F05">
        <w:t>Febrero</w:t>
      </w:r>
      <w:r w:rsidR="00AA116C">
        <w:t xml:space="preserve"> de 2012.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50"/>
      <w:r w:rsidRPr="00C41E16">
        <w:rPr>
          <w:rFonts w:asciiTheme="minorHAnsi" w:hAnsiTheme="minorHAnsi" w:cstheme="minorHAnsi"/>
        </w:rPr>
        <w:t>Entregables.</w:t>
      </w:r>
      <w:bookmarkEnd w:id="12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</w:t>
      </w:r>
      <w:r w:rsidR="00D25A2F">
        <w:t>,</w:t>
      </w:r>
      <w:r>
        <w:t xml:space="preserve">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3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8227A" w:rsidP="00C8227A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CORPSEGUROS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8227A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6E73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</w:t>
            </w:r>
            <w:r w:rsidR="00C8227A">
              <w:rPr>
                <w:rFonts w:cstheme="minorHAnsi"/>
              </w:rPr>
              <w:t>CORPSEGUROS</w:t>
            </w:r>
            <w:r w:rsidR="00712914" w:rsidRPr="00712914">
              <w:rPr>
                <w:rFonts w:cstheme="minorHAnsi"/>
              </w:rPr>
              <w:t>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 xml:space="preserve">y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8227A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 xml:space="preserve">y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4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C8227A">
              <w:rPr>
                <w:rFonts w:asciiTheme="minorHAnsi" w:hAnsiTheme="minorHAnsi" w:cstheme="minorHAnsi"/>
              </w:rPr>
              <w:t>CORPSEGUROS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8227A">
              <w:rPr>
                <w:rFonts w:cstheme="minorHAnsi"/>
              </w:rPr>
              <w:t>CORPSEGUROS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8227A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D817D5">
              <w:rPr>
                <w:rFonts w:cstheme="minorHAnsi"/>
              </w:rPr>
              <w:t xml:space="preserve"> </w:t>
            </w:r>
            <w:r w:rsidR="00A81813" w:rsidRPr="00D817D5">
              <w:rPr>
                <w:rFonts w:cstheme="minorHAnsi"/>
              </w:rPr>
              <w:t xml:space="preserve">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5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5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4"/>
      <w:r w:rsidRPr="00886A8A">
        <w:rPr>
          <w:rFonts w:asciiTheme="minorHAnsi" w:hAnsiTheme="minorHAnsi" w:cstheme="minorHAnsi"/>
        </w:rPr>
        <w:t>Propuesta económica.</w:t>
      </w:r>
      <w:bookmarkEnd w:id="16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7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7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09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8227A">
              <w:rPr>
                <w:rFonts w:asciiTheme="minorHAnsi" w:hAnsiTheme="minorHAnsi" w:cstheme="minorHAnsi"/>
              </w:rPr>
              <w:t>CORPSEGUROS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83659" w:rsidRPr="00080F05" w:rsidRDefault="00C8227A" w:rsidP="00BF1E9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BF1E93" w:rsidRPr="00080F05">
              <w:rPr>
                <w:rFonts w:asciiTheme="minorHAnsi" w:hAnsiTheme="minorHAnsi" w:cstheme="minorHAnsi"/>
              </w:rPr>
              <w:t xml:space="preserve"> (Licencia cerrada)</w:t>
            </w:r>
          </w:p>
        </w:tc>
        <w:tc>
          <w:tcPr>
            <w:tcW w:w="2993" w:type="dxa"/>
          </w:tcPr>
          <w:p w:rsidR="00983659" w:rsidRPr="00983659" w:rsidRDefault="00B655DF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  <w:r w:rsidR="00C8227A">
              <w:rPr>
                <w:rFonts w:asciiTheme="minorHAnsi" w:hAnsiTheme="minorHAnsi" w:cstheme="minorHAnsi"/>
              </w:rPr>
              <w:t>0</w:t>
            </w:r>
            <w:r w:rsidR="00983659" w:rsidRPr="00983659">
              <w:rPr>
                <w:rFonts w:asciiTheme="minorHAnsi" w:hAnsiTheme="minorHAnsi" w:cstheme="minorHAnsi"/>
              </w:rPr>
              <w:t xml:space="preserve"> </w:t>
            </w:r>
            <w:r w:rsidR="00983659"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B655DF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bookmarkStart w:id="18" w:name="_GoBack"/>
            <w:bookmarkEnd w:id="18"/>
            <w:r w:rsidR="00C8227A">
              <w:rPr>
                <w:rFonts w:asciiTheme="minorHAnsi" w:hAnsiTheme="minorHAnsi" w:cstheme="minorHAnsi"/>
              </w:rPr>
              <w:t>00</w:t>
            </w:r>
            <w:r w:rsidR="00983659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C11B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F243DA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Implementación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 de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Requerimientos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</w:t>
            </w:r>
            <w:r w:rsidR="00C8227A">
              <w:rPr>
                <w:rFonts w:asciiTheme="minorHAnsi" w:hAnsiTheme="minorHAnsi" w:cstheme="minorHAnsi"/>
              </w:rPr>
              <w:t>ión de sistema EXFIDA con sistema autenticación de CORPSEGUROS</w:t>
            </w:r>
          </w:p>
        </w:tc>
        <w:tc>
          <w:tcPr>
            <w:tcW w:w="2993" w:type="dxa"/>
          </w:tcPr>
          <w:p w:rsidR="00E2252F" w:rsidRPr="008D0686" w:rsidRDefault="00C8227A" w:rsidP="00F2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80 UF.</w:t>
            </w:r>
          </w:p>
        </w:tc>
      </w:tr>
    </w:tbl>
    <w:p w:rsidR="00E00815" w:rsidRDefault="00E00815" w:rsidP="00497674">
      <w:pPr>
        <w:jc w:val="both"/>
      </w:pPr>
    </w:p>
    <w:p w:rsidR="0040284F" w:rsidRDefault="00EB7735" w:rsidP="00497674">
      <w:pPr>
        <w:jc w:val="both"/>
      </w:pPr>
      <w:r>
        <w:t>Los costos de licencia incluy</w:t>
      </w:r>
      <w:r w:rsidR="00E2252F">
        <w:t xml:space="preserve">en el modulo de </w:t>
      </w:r>
      <w:r w:rsidR="00E2252F" w:rsidRPr="004E70EB">
        <w:rPr>
          <w:b/>
        </w:rPr>
        <w:t>Emisión de XBRL</w:t>
      </w:r>
      <w:r w:rsidR="00080F05">
        <w:t>.</w:t>
      </w: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080F05" w:rsidRDefault="00080F05" w:rsidP="00497674">
      <w:pPr>
        <w:jc w:val="both"/>
      </w:pP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C8227A">
        <w:rPr>
          <w:bCs/>
          <w:iCs/>
          <w:color w:val="000000"/>
          <w:szCs w:val="20"/>
        </w:rPr>
        <w:t>CORPSEGUROS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</w:t>
      </w:r>
      <w:r w:rsidR="009A581D" w:rsidRPr="0070736D">
        <w:rPr>
          <w:rFonts w:asciiTheme="minorHAnsi" w:hAnsiTheme="minorHAnsi" w:cstheme="minorHAnsi"/>
        </w:rPr>
        <w:t xml:space="preserve"> Anual</w:t>
      </w:r>
      <w:r w:rsidRPr="0070736D">
        <w:rPr>
          <w:rFonts w:asciiTheme="minorHAnsi" w:hAnsiTheme="minorHAnsi" w:cstheme="minorHAnsi"/>
        </w:rPr>
        <w:t>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lastRenderedPageBreak/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B52" w:rsidRDefault="00920B52" w:rsidP="00365DCD">
      <w:pPr>
        <w:spacing w:after="0" w:line="240" w:lineRule="auto"/>
      </w:pPr>
      <w:r>
        <w:separator/>
      </w:r>
    </w:p>
  </w:endnote>
  <w:endnote w:type="continuationSeparator" w:id="0">
    <w:p w:rsidR="00920B52" w:rsidRDefault="00920B52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Pr="00F243DA" w:rsidRDefault="00096EE1" w:rsidP="00EF070E">
    <w:pPr>
      <w:pStyle w:val="Piedepgina"/>
      <w:jc w:val="center"/>
      <w:rPr>
        <w:sz w:val="18"/>
        <w:szCs w:val="16"/>
      </w:rPr>
    </w:pPr>
    <w:r w:rsidRPr="00F243DA">
      <w:rPr>
        <w:sz w:val="18"/>
        <w:szCs w:val="16"/>
      </w:rPr>
      <w:fldChar w:fldCharType="begin"/>
    </w:r>
    <w:r w:rsidRPr="00F243DA">
      <w:rPr>
        <w:sz w:val="18"/>
        <w:szCs w:val="16"/>
      </w:rPr>
      <w:instrText>PAGE   \* MERGEFORMAT</w:instrText>
    </w:r>
    <w:r w:rsidRPr="00F243DA">
      <w:rPr>
        <w:sz w:val="18"/>
        <w:szCs w:val="16"/>
      </w:rPr>
      <w:fldChar w:fldCharType="separate"/>
    </w:r>
    <w:r w:rsidR="00B655DF" w:rsidRPr="00B655DF">
      <w:rPr>
        <w:noProof/>
        <w:sz w:val="18"/>
        <w:szCs w:val="16"/>
        <w:lang w:val="es-ES"/>
      </w:rPr>
      <w:t>13</w:t>
    </w:r>
    <w:r w:rsidRPr="00F243DA">
      <w:rPr>
        <w:sz w:val="18"/>
        <w:szCs w:val="16"/>
      </w:rPr>
      <w:fldChar w:fldCharType="end"/>
    </w:r>
  </w:p>
  <w:p w:rsidR="00096EE1" w:rsidRPr="00F243DA" w:rsidRDefault="00096EE1" w:rsidP="00A839E8">
    <w:pPr>
      <w:pStyle w:val="Piedepgina"/>
      <w:jc w:val="center"/>
      <w:rPr>
        <w:b/>
        <w:bCs/>
        <w:color w:val="808080" w:themeColor="background1" w:themeShade="80"/>
        <w:sz w:val="18"/>
        <w:szCs w:val="16"/>
      </w:rPr>
    </w:pPr>
    <w:r w:rsidRPr="00F243DA">
      <w:rPr>
        <w:b/>
        <w:bCs/>
        <w:color w:val="808080" w:themeColor="background1" w:themeShade="80"/>
        <w:sz w:val="18"/>
        <w:szCs w:val="16"/>
      </w:rPr>
      <w:t>MDR Technology LTDA.</w:t>
    </w:r>
  </w:p>
  <w:p w:rsidR="00096EE1" w:rsidRPr="00F243DA" w:rsidRDefault="00096EE1" w:rsidP="00A839E8">
    <w:pPr>
      <w:pStyle w:val="Piedepgina"/>
      <w:jc w:val="center"/>
      <w:rPr>
        <w:color w:val="808080" w:themeColor="background1" w:themeShade="80"/>
        <w:sz w:val="18"/>
        <w:szCs w:val="16"/>
      </w:rPr>
    </w:pPr>
    <w:r w:rsidRPr="00F243DA">
      <w:rPr>
        <w:color w:val="808080" w:themeColor="background1" w:themeShade="80"/>
        <w:sz w:val="18"/>
        <w:szCs w:val="16"/>
      </w:rPr>
      <w:t xml:space="preserve">Avenida 11 de Septiembre 1881, Oficina 1620. Providencia, Santiago. </w:t>
    </w:r>
    <w:r w:rsidRPr="00F243DA">
      <w:rPr>
        <w:color w:val="808080" w:themeColor="background1" w:themeShade="80"/>
        <w:sz w:val="18"/>
        <w:szCs w:val="16"/>
      </w:rPr>
      <w:br/>
      <w:t>Teléfono: +562-8974522</w:t>
    </w:r>
  </w:p>
  <w:p w:rsidR="00096EE1" w:rsidRPr="00F243DA" w:rsidRDefault="00920B52" w:rsidP="00A839E8">
    <w:pPr>
      <w:pStyle w:val="Piedepgina"/>
      <w:jc w:val="center"/>
      <w:rPr>
        <w:sz w:val="18"/>
        <w:szCs w:val="16"/>
      </w:rPr>
    </w:pPr>
    <w:hyperlink r:id="rId1" w:history="1">
      <w:r w:rsidR="00096EE1" w:rsidRPr="00F243DA">
        <w:rPr>
          <w:rStyle w:val="Hipervnculo"/>
          <w:sz w:val="18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B52" w:rsidRDefault="00920B52" w:rsidP="00365DCD">
      <w:pPr>
        <w:spacing w:after="0" w:line="240" w:lineRule="auto"/>
      </w:pPr>
      <w:r>
        <w:separator/>
      </w:r>
    </w:p>
  </w:footnote>
  <w:footnote w:type="continuationSeparator" w:id="0">
    <w:p w:rsidR="00920B52" w:rsidRDefault="00920B52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5pt;height:12.15pt;visibility:visible;mso-wrap-style:square" o:bullet="t">
        <v:imagedata r:id="rId1" o:title=""/>
      </v:shape>
    </w:pict>
  </w:numPicBullet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E7276F8"/>
    <w:multiLevelType w:val="hybridMultilevel"/>
    <w:tmpl w:val="AA82DAFC"/>
    <w:lvl w:ilvl="0" w:tplc="B8A66F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92EF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A859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205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167D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215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0A0E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407A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0E87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14E8"/>
    <w:rsid w:val="0000288C"/>
    <w:rsid w:val="000071BC"/>
    <w:rsid w:val="000467AD"/>
    <w:rsid w:val="00060FB5"/>
    <w:rsid w:val="00076DC8"/>
    <w:rsid w:val="00080F05"/>
    <w:rsid w:val="0009137E"/>
    <w:rsid w:val="000917D6"/>
    <w:rsid w:val="00094825"/>
    <w:rsid w:val="00096EE1"/>
    <w:rsid w:val="000A5ECE"/>
    <w:rsid w:val="000B4114"/>
    <w:rsid w:val="000C6382"/>
    <w:rsid w:val="000E50C6"/>
    <w:rsid w:val="001042BE"/>
    <w:rsid w:val="00112F4D"/>
    <w:rsid w:val="001211CC"/>
    <w:rsid w:val="001354C6"/>
    <w:rsid w:val="0014104B"/>
    <w:rsid w:val="0015257E"/>
    <w:rsid w:val="00157E4A"/>
    <w:rsid w:val="00161CC9"/>
    <w:rsid w:val="00177DFF"/>
    <w:rsid w:val="001B2E11"/>
    <w:rsid w:val="001C2246"/>
    <w:rsid w:val="001C2303"/>
    <w:rsid w:val="001C3DA3"/>
    <w:rsid w:val="001D574D"/>
    <w:rsid w:val="001E28FF"/>
    <w:rsid w:val="00207B05"/>
    <w:rsid w:val="00251293"/>
    <w:rsid w:val="00275553"/>
    <w:rsid w:val="002908CD"/>
    <w:rsid w:val="002A43E2"/>
    <w:rsid w:val="002C6AC2"/>
    <w:rsid w:val="002F1FE1"/>
    <w:rsid w:val="002F3AB7"/>
    <w:rsid w:val="002F4369"/>
    <w:rsid w:val="003063EE"/>
    <w:rsid w:val="00362D7E"/>
    <w:rsid w:val="00365DCD"/>
    <w:rsid w:val="00393839"/>
    <w:rsid w:val="003D4C0B"/>
    <w:rsid w:val="003D7C6C"/>
    <w:rsid w:val="003E5D49"/>
    <w:rsid w:val="0040284F"/>
    <w:rsid w:val="00422211"/>
    <w:rsid w:val="004311BA"/>
    <w:rsid w:val="00463512"/>
    <w:rsid w:val="0047647D"/>
    <w:rsid w:val="00496ECD"/>
    <w:rsid w:val="00497674"/>
    <w:rsid w:val="004B6370"/>
    <w:rsid w:val="004D2D6B"/>
    <w:rsid w:val="004E70EB"/>
    <w:rsid w:val="00525EAB"/>
    <w:rsid w:val="005304C4"/>
    <w:rsid w:val="005401EB"/>
    <w:rsid w:val="005429C5"/>
    <w:rsid w:val="0054304A"/>
    <w:rsid w:val="00545C84"/>
    <w:rsid w:val="0054664A"/>
    <w:rsid w:val="00547989"/>
    <w:rsid w:val="00550F64"/>
    <w:rsid w:val="005C0FE0"/>
    <w:rsid w:val="005D3DBB"/>
    <w:rsid w:val="005D7877"/>
    <w:rsid w:val="006217B1"/>
    <w:rsid w:val="006222B2"/>
    <w:rsid w:val="00631127"/>
    <w:rsid w:val="006615E2"/>
    <w:rsid w:val="00665A49"/>
    <w:rsid w:val="00671133"/>
    <w:rsid w:val="00671635"/>
    <w:rsid w:val="00677E81"/>
    <w:rsid w:val="00695DDF"/>
    <w:rsid w:val="006A1EAC"/>
    <w:rsid w:val="006E73B0"/>
    <w:rsid w:val="006E7F9A"/>
    <w:rsid w:val="007042EE"/>
    <w:rsid w:val="00706BA8"/>
    <w:rsid w:val="0070736D"/>
    <w:rsid w:val="00712914"/>
    <w:rsid w:val="00721B80"/>
    <w:rsid w:val="007602A5"/>
    <w:rsid w:val="00763480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686"/>
    <w:rsid w:val="008D0C2F"/>
    <w:rsid w:val="009079CD"/>
    <w:rsid w:val="00911B1B"/>
    <w:rsid w:val="00920B52"/>
    <w:rsid w:val="00921170"/>
    <w:rsid w:val="0092757C"/>
    <w:rsid w:val="00927F1A"/>
    <w:rsid w:val="009315E9"/>
    <w:rsid w:val="009565B3"/>
    <w:rsid w:val="00965FEA"/>
    <w:rsid w:val="009819A9"/>
    <w:rsid w:val="00983659"/>
    <w:rsid w:val="0098500B"/>
    <w:rsid w:val="009A581D"/>
    <w:rsid w:val="009B6AFF"/>
    <w:rsid w:val="009D48DE"/>
    <w:rsid w:val="009E2887"/>
    <w:rsid w:val="009F695D"/>
    <w:rsid w:val="00A07DD5"/>
    <w:rsid w:val="00A44DCD"/>
    <w:rsid w:val="00A61331"/>
    <w:rsid w:val="00A647A6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AF731D"/>
    <w:rsid w:val="00B10D05"/>
    <w:rsid w:val="00B61328"/>
    <w:rsid w:val="00B655DF"/>
    <w:rsid w:val="00B65DD9"/>
    <w:rsid w:val="00B837AC"/>
    <w:rsid w:val="00B945B1"/>
    <w:rsid w:val="00B962A0"/>
    <w:rsid w:val="00BA0DF0"/>
    <w:rsid w:val="00BA2F5D"/>
    <w:rsid w:val="00BD5577"/>
    <w:rsid w:val="00BD5BB1"/>
    <w:rsid w:val="00BD67A9"/>
    <w:rsid w:val="00BF1E93"/>
    <w:rsid w:val="00C11B82"/>
    <w:rsid w:val="00C16C48"/>
    <w:rsid w:val="00C304E3"/>
    <w:rsid w:val="00C41E16"/>
    <w:rsid w:val="00C6432E"/>
    <w:rsid w:val="00C738D5"/>
    <w:rsid w:val="00C75D60"/>
    <w:rsid w:val="00C8227A"/>
    <w:rsid w:val="00C842A6"/>
    <w:rsid w:val="00CA46E2"/>
    <w:rsid w:val="00CE4C34"/>
    <w:rsid w:val="00D067FB"/>
    <w:rsid w:val="00D25A2F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C1B53"/>
    <w:rsid w:val="00EC23F3"/>
    <w:rsid w:val="00EF070E"/>
    <w:rsid w:val="00EF729D"/>
    <w:rsid w:val="00F05715"/>
    <w:rsid w:val="00F0741B"/>
    <w:rsid w:val="00F242ED"/>
    <w:rsid w:val="00F243DA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DBA27-9FA8-4A03-805A-A0BCB2D10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2466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56</cp:revision>
  <cp:lastPrinted>2012-10-01T13:49:00Z</cp:lastPrinted>
  <dcterms:created xsi:type="dcterms:W3CDTF">2012-10-01T12:16:00Z</dcterms:created>
  <dcterms:modified xsi:type="dcterms:W3CDTF">2012-10-23T14:05:00Z</dcterms:modified>
</cp:coreProperties>
</file>