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2F1FE1">
        <w:rPr>
          <w:rFonts w:asciiTheme="minorHAnsi" w:hAnsiTheme="minorHAnsi" w:cstheme="minorHAnsi"/>
          <w:sz w:val="20"/>
          <w:szCs w:val="20"/>
          <w:lang w:val="es-CL"/>
        </w:rPr>
        <w:t>1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5C11FA">
            <w:fldChar w:fldCharType="begin"/>
          </w:r>
          <w:r w:rsidR="00826538" w:rsidRPr="00FC6C8E">
            <w:instrText xml:space="preserve"> TOC \o "1-3" \h \z \u </w:instrText>
          </w:r>
          <w:r w:rsidRPr="005C11FA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5C11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5C11FA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 xml:space="preserve">Es producto totalmente versátil que se ajusta a todos los posibles escenarios impuestos por la Superintendencia de Valores y Seguros, brindando una capacidad de adaptación </w:t>
      </w:r>
      <w:r w:rsidR="008D2B25">
        <w:t xml:space="preserve">  </w:t>
      </w:r>
      <w:r w:rsidRPr="00FC6C8E">
        <w:t>única</w:t>
      </w:r>
      <w:r w:rsidR="008D2B25">
        <w:t xml:space="preserve">  </w:t>
      </w:r>
      <w:r w:rsidRPr="00FC6C8E">
        <w:t xml:space="preserve"> a </w:t>
      </w:r>
      <w:r w:rsidR="008D2B25">
        <w:t xml:space="preserve">  </w:t>
      </w:r>
      <w:r w:rsidRPr="00FC6C8E">
        <w:t>la</w:t>
      </w:r>
      <w:r w:rsidR="008D2B25">
        <w:t xml:space="preserve">  </w:t>
      </w:r>
      <w:r w:rsidRPr="00FC6C8E">
        <w:t xml:space="preserve"> hora de </w:t>
      </w:r>
      <w:r w:rsidR="008D2B25">
        <w:t xml:space="preserve"> </w:t>
      </w:r>
      <w:r w:rsidRPr="00FC6C8E">
        <w:t xml:space="preserve">enfrentar los cambios en los modelos de entrega de la información </w:t>
      </w:r>
      <w:r w:rsidR="008D2B25">
        <w:t xml:space="preserve"> </w:t>
      </w:r>
      <w:r w:rsidRPr="00FC6C8E">
        <w:t>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5C11FA" w:rsidP="00B65DD9">
      <w:pPr>
        <w:pStyle w:val="Prrafodelista"/>
        <w:numPr>
          <w:ilvl w:val="0"/>
          <w:numId w:val="1"/>
        </w:numPr>
        <w:jc w:val="both"/>
      </w:pPr>
      <w:hyperlink r:id="rId11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51741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 xml:space="preserve">: Es compatible con las arquitecturas de servidores ya sea en 32 o 64 bits.Indistintamente, Exfida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</w:tr>
      <w:tr w:rsidR="00921170" w:rsidRPr="009E2887" w:rsidTr="00921170">
        <w:trPr>
          <w:cnfStyle w:val="000000100000"/>
        </w:trPr>
        <w:tc>
          <w:tcPr>
            <w:cnfStyle w:val="00100000000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5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/>
        </w:trPr>
        <w:tc>
          <w:tcPr>
            <w:cnfStyle w:val="00100000000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  <w:tr w:rsidR="00BA2F5D" w:rsidRPr="005429C5" w:rsidTr="00BA2F5D">
        <w:trPr>
          <w:cnfStyle w:val="000000010000"/>
        </w:trPr>
        <w:tc>
          <w:tcPr>
            <w:cnfStyle w:val="00100000000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5"/>
      <w:r w:rsidRPr="00FE1B6E">
        <w:rPr>
          <w:rFonts w:asciiTheme="minorHAnsi" w:hAnsiTheme="minorHAnsi" w:cstheme="minorHAnsi"/>
        </w:rPr>
        <w:lastRenderedPageBreak/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VIDA CAMARA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0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Pr="00695DDF">
        <w:t>quien tendrá</w:t>
      </w:r>
      <w:r w:rsidR="00E17131">
        <w:t xml:space="preserve"> a cargo</w:t>
      </w:r>
      <w:r w:rsidR="005401EB">
        <w:t>la gestión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>un año</w:t>
      </w:r>
      <w:r w:rsidR="009C5215">
        <w:t xml:space="preserve"> </w:t>
      </w:r>
      <w:r>
        <w:t>en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50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/>
        </w:trPr>
        <w:tc>
          <w:tcPr>
            <w:cnfStyle w:val="00100000000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6E73B0"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4489"/>
        <w:gridCol w:w="4489"/>
      </w:tblGrid>
      <w:tr w:rsidR="00BD5577" w:rsidRPr="00D817D5" w:rsidTr="00BD5577">
        <w:trPr>
          <w:cnfStyle w:val="1000000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4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/>
      </w:tblPr>
      <w:tblGrid>
        <w:gridCol w:w="2992"/>
        <w:gridCol w:w="2993"/>
        <w:gridCol w:w="2993"/>
      </w:tblGrid>
      <w:tr w:rsidR="007602A5" w:rsidTr="00096EE1">
        <w:trPr>
          <w:cnfStyle w:val="100000000000"/>
        </w:trPr>
        <w:tc>
          <w:tcPr>
            <w:cnfStyle w:val="00100000010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BF1E93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11B8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0</w:t>
            </w:r>
            <w:r w:rsidR="00722B1D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C11B82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/>
        </w:trPr>
        <w:tc>
          <w:tcPr>
            <w:cnfStyle w:val="00100000000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bookmarkStart w:id="18" w:name="_GoBack"/>
            <w:bookmarkEnd w:id="18"/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8FD" w:rsidRDefault="006458FD" w:rsidP="00365DCD">
      <w:pPr>
        <w:spacing w:after="0" w:line="240" w:lineRule="auto"/>
      </w:pPr>
      <w:r>
        <w:separator/>
      </w:r>
    </w:p>
  </w:endnote>
  <w:endnote w:type="continuationSeparator" w:id="1">
    <w:p w:rsidR="006458FD" w:rsidRDefault="006458FD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Pr="00F243DA" w:rsidRDefault="005C11FA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5B0100" w:rsidRPr="005B0100">
      <w:rPr>
        <w:noProof/>
        <w:sz w:val="18"/>
        <w:szCs w:val="16"/>
        <w:lang w:val="es-ES"/>
      </w:rPr>
      <w:t>8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5C11FA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8FD" w:rsidRDefault="006458FD" w:rsidP="00365DCD">
      <w:pPr>
        <w:spacing w:after="0" w:line="240" w:lineRule="auto"/>
      </w:pPr>
      <w:r>
        <w:separator/>
      </w:r>
    </w:p>
  </w:footnote>
  <w:footnote w:type="continuationSeparator" w:id="1">
    <w:p w:rsidR="006458FD" w:rsidRDefault="006458FD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1F6ED0"/>
    <w:rsid w:val="00207B05"/>
    <w:rsid w:val="00223C58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B298B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84"/>
    <w:rsid w:val="0054664A"/>
    <w:rsid w:val="00547989"/>
    <w:rsid w:val="00550F64"/>
    <w:rsid w:val="005B0100"/>
    <w:rsid w:val="005C0FE0"/>
    <w:rsid w:val="005C11FA"/>
    <w:rsid w:val="005D3DBB"/>
    <w:rsid w:val="005D7877"/>
    <w:rsid w:val="006217B1"/>
    <w:rsid w:val="006222B2"/>
    <w:rsid w:val="00631127"/>
    <w:rsid w:val="00643E51"/>
    <w:rsid w:val="006458FD"/>
    <w:rsid w:val="006615E2"/>
    <w:rsid w:val="00665A49"/>
    <w:rsid w:val="00671133"/>
    <w:rsid w:val="00671635"/>
    <w:rsid w:val="00677E81"/>
    <w:rsid w:val="00681C92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21170"/>
    <w:rsid w:val="0092757C"/>
    <w:rsid w:val="00927F1A"/>
    <w:rsid w:val="009315E9"/>
    <w:rsid w:val="009565B3"/>
    <w:rsid w:val="00965FEA"/>
    <w:rsid w:val="009669A8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F731D"/>
    <w:rsid w:val="00B10D05"/>
    <w:rsid w:val="00B61328"/>
    <w:rsid w:val="00B65DD9"/>
    <w:rsid w:val="00B728E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43DA"/>
    <w:rsid w:val="00F256B6"/>
    <w:rsid w:val="00F460A0"/>
    <w:rsid w:val="00F6353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drtech.cl/productos-servicios/productos/exfid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5123F-8C67-496E-89AE-19C3ED8F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2187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76</cp:revision>
  <cp:lastPrinted>2012-10-01T13:49:00Z</cp:lastPrinted>
  <dcterms:created xsi:type="dcterms:W3CDTF">2012-10-01T12:16:00Z</dcterms:created>
  <dcterms:modified xsi:type="dcterms:W3CDTF">2012-12-20T21:45:00Z</dcterms:modified>
</cp:coreProperties>
</file>