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Causa Submission Readiness and Demonstration Report</w:t>
      </w:r>
    </w:p>
    <w:p>
      <w:r>
        <w:t>Prepared for submission review and synthetic demonstration assessment</w:t>
      </w:r>
    </w:p>
    <w:p>
      <w:pPr>
        <w:spacing w:after="140" w:line="276" w:lineRule="auto"/>
      </w:pPr>
      <w:r>
        <w:t>Document date: 28 September 2026. This report records implemented evidence and open release blockers. It does not provide legal advice, a security certification or a production approval.</w:t>
      </w:r>
    </w:p>
    <w:p>
      <w:pPr>
        <w:pStyle w:val="Heading1"/>
      </w:pPr>
      <w:r>
        <w:t>Executive Summary</w:t>
      </w:r>
    </w:p>
    <w:p>
      <w:pPr>
        <w:spacing w:after="140" w:line="276" w:lineRule="auto"/>
      </w:pPr>
      <w:r>
        <w:t>Cause AI is a local financial-exception investigation application. It receives normalized finance records, detects discrepancies, creates tenant-scoped cases, routes investigations, records append-only audit events and supports controlled regulatory-source monitoring.</w:t>
      </w:r>
    </w:p>
    <w:p>
      <w:pPr>
        <w:spacing w:after="140" w:line="276" w:lineRule="auto"/>
      </w:pPr>
      <w:r>
        <w:t>The approved demonstration has strong workflow evidence, but it is not ready to process live Razorpay customer data or operate as a public production service. The current application deliberately blocks production launch and loopback-only enforcement prevents accidental exposure.</w:t>
      </w:r>
    </w:p>
    <w:p>
      <w:pPr>
        <w:pStyle w:val="Heading1"/>
      </w:pPr>
      <w:r>
        <w:t>Implemented Application Controls</w:t>
      </w:r>
    </w:p>
    <w:p>
      <w:pPr>
        <w:spacing w:after="140" w:line="276" w:lineRule="auto"/>
      </w:pPr>
      <w:r>
        <w:t>The backend validates normalized record schema, uses decimal monetary calculations, blocks unsafe automated approval, routes suspicious activity to fraud review, links repeat requests to prior cases, and requires evidence before resolution verification.</w:t>
      </w:r>
    </w:p>
    <w:p>
      <w:pPr>
        <w:spacing w:after="140" w:line="276" w:lineRule="auto"/>
      </w:pPr>
      <w:r>
        <w:t>Tenant-scoped queries protect cases, tickets and audit events. Financial events are immutable, receive a SHA-256 content hash, have a unique source identity per tenant and reject replayed source records whose content changes.</w:t>
      </w:r>
    </w:p>
    <w:p>
      <w:pPr>
        <w:spacing w:after="140" w:line="276" w:lineRule="auto"/>
      </w:pPr>
      <w:r>
        <w:t>The HTTP layer enforces same-origin writes, content-security policy, no-store responses, MIME-sniffing protection, clickjacking protection, request-size limits, malformed Content-Length rejection, session expiry, session capacity limits and login throttling. Policy versions require separate proposal, review and activation actors, and each controlled tool declares roles, scope, rate limit and audit requirement.</w:t>
      </w:r>
    </w:p>
    <w:p>
      <w:pPr>
        <w:pStyle w:val="Heading1"/>
      </w:pPr>
      <w:r>
        <w:t>Razorpay and Financial Data Boundary</w:t>
      </w:r>
    </w:p>
    <w:p>
      <w:pPr>
        <w:spacing w:after="140" w:line="276" w:lineRule="auto"/>
      </w:pPr>
      <w:r>
        <w:t>A read-only Razorpay Payments API connector exists. It requires explicit live mode, an authorised tenant match and a separate opt-in flag. It normalizes only payment fields needed for investigation and excludes raw email and card details from normalized records.</w:t>
      </w:r>
    </w:p>
    <w:p>
      <w:pPr>
        <w:spacing w:after="140" w:line="276" w:lineRule="auto"/>
      </w:pPr>
      <w:r>
        <w:t>The connector cannot run against live Razorpay data until an authorised company credential, tenant mapping, production secret store and operational approval are provided. The deployed endpoint fails closed with HTTP 503 when these controls are absent.</w:t>
      </w:r>
    </w:p>
    <w:p>
      <w:pPr>
        <w:pStyle w:val="Heading1"/>
      </w:pPr>
      <w:r>
        <w:t>Legal and Privacy Submission Package</w:t>
      </w:r>
    </w:p>
    <w:p>
      <w:pPr>
        <w:spacing w:after="140" w:line="276" w:lineRule="auto"/>
      </w:pPr>
      <w:r>
        <w:t>The accompanying legal template covers service scope, authorised use, customer responsibilities, confidentiality, privacy categories, purposes, rights, sharing, retention, incidents and India-specific payment-data review. It contains required placeholders for the legal entity, contacts, processors, retention schedule, jurisdictions and contract terms.</w:t>
      </w:r>
    </w:p>
    <w:p>
      <w:pPr>
        <w:spacing w:after="140" w:line="276" w:lineRule="auto"/>
      </w:pPr>
      <w:r>
        <w:t>Counsel must complete and approve the template before publication. The document does not represent legal advice or a compliance guarantee.</w:t>
      </w:r>
    </w:p>
    <w:p>
      <w:pPr>
        <w:pStyle w:val="Heading1"/>
      </w:pPr>
      <w:r>
        <w:t>Production Readiness Assessment</w:t>
      </w:r>
    </w:p>
    <w:p>
      <w:pPr>
        <w:spacing w:after="140" w:line="276" w:lineRule="auto"/>
      </w:pPr>
      <w:r>
        <w:t>Current submission status: SUBMISSION_READY_WITH_DOCUMENTED_LIMITATIONS. This measures the current repository against the PDR and complete project description. Production readiness score: 55 out of 100. The score reflects verified application controls, policy governance and deployment preflight checks. It does not treat templates, planned architecture or an approved demonstration as deployed production controls.</w:t>
      </w:r>
    </w:p>
    <w:p>
      <w:pPr>
        <w:spacing w:after="140" w:line="276" w:lineRule="auto"/>
      </w:pPr>
      <w:r>
        <w:t>A score of 100 requires completed and evidenced company infrastructure, identity, approved data governance, independent assurance and authorised real integration testing.</w:t>
      </w:r>
    </w:p>
    <w:p>
      <w:pPr>
        <w:pStyle w:val="Heading1"/>
      </w:pPr>
      <w:r>
        <w:t>Release Blocking Gaps</w:t>
      </w:r>
    </w:p>
    <w:p>
      <w:pPr>
        <w:spacing w:after="140" w:line="276" w:lineRule="auto"/>
      </w:pPr>
      <w:r>
        <w:t>Infrastructure: SQLite must be replaced by a managed production database with encryption, high availability, backup retention, restore testing and access logging. The service needs TLS ingress, WAF, private networking, secrets management, centralized logs, metrics and alerting.</w:t>
      </w:r>
    </w:p>
    <w:p>
      <w:pPr>
        <w:spacing w:after="140" w:line="276" w:lineRule="auto"/>
      </w:pPr>
      <w:r>
        <w:t>Identity and access: demo passwords and in-memory sessions must be replaced by a company identity provider with SSO, MFA, lifecycle provisioning, privileged-access controls and administrative audit trails.</w:t>
      </w:r>
    </w:p>
    <w:p>
      <w:pPr>
        <w:spacing w:after="140" w:line="276" w:lineRule="auto"/>
      </w:pPr>
      <w:r>
        <w:t>Financial integration: live Razorpay credentials, webhook signature verification, settlement, refund and dispute sources, approved reconciliation rules, idempotency monitoring and controlled production test evidence are still required.</w:t>
      </w:r>
    </w:p>
    <w:p>
      <w:pPr>
        <w:spacing w:after="140" w:line="276" w:lineRule="auto"/>
      </w:pPr>
      <w:r>
        <w:t>Security assurance: independent code review, threat model, VAPT, penetration testing, dependency scanning, load testing, disaster-recovery exercise, incident-response drill and operational ownership must be completed.</w:t>
      </w:r>
    </w:p>
    <w:p>
      <w:pPr>
        <w:spacing w:after="140" w:line="276" w:lineRule="auto"/>
      </w:pPr>
      <w:r>
        <w:t>Privacy and legal: signed terms, DPA, subprocessor register, retention and deletion configuration, privacy contact, data subject request workflow, data-localization evidence and counsel approval must be completed.</w:t>
      </w:r>
    </w:p>
    <w:p>
      <w:pPr>
        <w:pStyle w:val="Heading1"/>
      </w:pPr>
      <w:r>
        <w:t>Artificial Intelligence Use</w:t>
      </w:r>
    </w:p>
    <w:p>
      <w:pPr>
        <w:spacing w:after="140" w:line="276" w:lineRule="auto"/>
      </w:pPr>
      <w:r>
        <w:t>Causa uses deterministic detection, risk assessment and decision controls, with an optional OpenRouter investigation provider. The provider is selected only when a server-side configuration and secret are present; otherwise the system records a transparent deterministic fallback finding. Generative output is advisory and cannot approve funds, override policy, modify an audit record or confirm fraud.</w:t>
      </w:r>
    </w:p>
    <w:p>
      <w:pPr>
        <w:spacing w:after="140" w:line="276" w:lineRule="auto"/>
      </w:pPr>
      <w:r>
        <w:t>Any future ML model must undergo data-governance review, model-risk approval, evaluation against known outcomes, drift monitoring, human-override controls and documented adverse-impact assessment before it influences material decisions.</w:t>
      </w:r>
    </w:p>
    <w:p>
      <w:pPr>
        <w:pStyle w:val="Heading1"/>
      </w:pPr>
      <w:r>
        <w:t>Architecture Design</w:t>
      </w:r>
    </w:p>
    <w:p>
      <w:pPr/>
      <w:r>
        <w:t>Cause AI uses a browser interface, Python HTTP API, workflow service, deterministic decision and risk engine, SQLite demonstration data store, append-only audit hash chain and regulatory-source monitor. Same-origin browser requests enter the API, which authenticates the user, applies role and tenant controls, then invokes the workflow service. The service returns only tenant-scoped cases, tickets, policy versions and audit events.</w:t>
      </w:r>
    </w:p>
    <w:p>
      <w:pPr/>
      <w:r>
        <w:t>The target production architecture replaces the local database and process state with managed PostgreSQL, company SSO, secret management, object storage for retained evidence, centralized logs and metrics, and a durable worker queue. These are release prerequisites and are not represented as deployed controls in the current demonstration.</w:t>
      </w:r>
    </w:p>
    <w:p>
      <w:pPr>
        <w:pStyle w:val="Heading1"/>
      </w:pPr>
      <w:r>
        <w:t>Backend Design</w:t>
      </w:r>
    </w:p>
    <w:p>
      <w:pPr/>
      <w:r>
        <w:t>The backend validates normalized payment, settlement, refund, fee, adjustment and bank records. It performs decimal financial calculations, creates immutable source-event hashes, prevents changed replayed records and stores cases under a tenant boundary. The detector attaches evidence identifiers, calculates explainable risk, applies the recorded policy version and stores the automatic decision with the case.</w:t>
      </w:r>
    </w:p>
    <w:p>
      <w:pPr/>
      <w:r>
        <w:t>The system records a separate evidence description for each decision. When escalation is required, it creates a department ticket containing an investigation description, risk factors, policy context, source evidence and linked prior case references. It does not execute payments, refunds, account changes or other financial actions.</w:t>
      </w:r>
    </w:p>
    <w:p>
      <w:pPr>
        <w:pStyle w:val="Heading1"/>
      </w:pPr>
      <w:r>
        <w:t>Workflow Design</w:t>
      </w:r>
    </w:p>
    <w:p>
      <w:pPr/>
      <w:r>
        <w:t>A validated source-record bundle is normalized and checked for exception patterns. The service creates a case with supplied User or Company ID, email address when present, evidence references and previous-report links. The deterministic engine then automatically approves, rejects or escalates the case. The case view exposes the decision rationale and the evidence description used to make it.</w:t>
      </w:r>
    </w:p>
    <w:p>
      <w:pPr/>
      <w:r>
        <w:t>Escalations create a department ticket automatically. The ticket tells the department what to investigate, why it was routed, which source records to reconcile and whether prior reports require review. A department records findings and a proposed resolution. An authorized analyst verifies a resolution against cited evidence. Material workflow actions are written to the append-only audit record.</w:t>
      </w:r>
    </w:p>
    <w:p>
      <w:pPr>
        <w:pStyle w:val="Heading1"/>
      </w:pPr>
      <w:r>
        <w:t>Bounded AI Investigation</w:t>
      </w:r>
    </w:p>
    <w:p>
      <w:pPr/>
      <w:r>
        <w:t>Causa provides an optional OpenRouter investigation layer. The API key is held only in server-side environment variables. When OpenRouter is not configured or the provider fails, Causa records a transparent deterministic fallback finding rather than claiming AI output.</w:t>
      </w:r>
    </w:p>
    <w:p>
      <w:pPr/>
      <w:r>
        <w:t>The provider receives only a controlled case context: the exception, linked financial-event references, evidence, risk, policy, timeline and deterministic decision. It receives no database access, credentials or authority to change a financial outcome.</w:t>
      </w:r>
    </w:p>
    <w:p>
      <w:pPr/>
      <w:r>
        <w:t>AI output uses a strict schema for summary, root-cause status, cited evidence IDs, unknowns, conflicts, next steps and route recommendation. The backend validates cited evidence IDs against the supplied case context. AI findings remain advisory and cannot approve money movement, refund a payment, alter policy, change audit history, bypass verification or confirm fraud.</w:t>
      </w:r>
    </w:p>
    <w:p>
      <w:pPr>
        <w:pStyle w:val="Heading1"/>
      </w:pPr>
      <w:r>
        <w:t>Zero Cost Demonstration Architecture</w:t>
      </w:r>
    </w:p>
    <w:p>
      <w:pPr/>
      <w:r>
        <w:t>Local development runs with SQLite, local filesystem storage and optional OpenRouter configuration. The public Vercel deployment runs synthetic data with ephemeral SQLite storage and uses the configured server-side provider or deterministic fallback. The deployment is suitable for demonstration only and must not receive real customer, payment or company data.</w:t>
      </w:r>
    </w:p>
    <w:p>
      <w:pPr/>
      <w:r>
        <w:t>A future company deployment needs durable PostgreSQL, persistent sessions, approved identity, object storage, secret management, monitoring, backups and company governance approval. These controls are not represented as deployed production controls in this report.</w:t>
      </w:r>
    </w:p>
    <w:p>
      <w:pPr>
        <w:pStyle w:val="Heading1"/>
      </w:pPr>
      <w:r>
        <w:t>AI Safety Verification</w:t>
      </w:r>
    </w:p>
    <w:p>
      <w:pPr/>
      <w:r>
        <w:t>The automated suite includes a prompt-injection test where an evidence record contains an instruction to approve a transaction. The system treats that text as untrusted record content and produces no financial authorization. A missing-evidence test confirms that deterministic fallback does not invent a bank record.</w:t>
      </w:r>
    </w:p>
    <w:p>
      <w:pPr>
        <w:pStyle w:val="Heading1"/>
      </w:pPr>
      <w:r>
        <w:t>Benchmark Status</w:t>
      </w:r>
    </w:p>
    <w:p>
      <w:pPr/>
      <w:r>
        <w:t>Measured on the included synthetic dataset: the benchmark contains 100 deterministic scenarios, including 20 normal scenarios and 80 expected exception scenarios. It uses versioned synthetic ground truth and does not call OpenRouter.</w:t>
      </w:r>
    </w:p>
    <w:p>
      <w:pPr/>
      <w:r>
        <w:t>The evaluator compares deterministic exception detections against versioned ground truth by category. Its generated results are 80 true positives, 0 false positives, 0 false negatives and 20 true negatives. Precision, recall, F1 and scenario match rate are each 1.0000 for this deliberately constructed regression dataset. It reports zero unresolved scenario IDs. Processing time and throughput vary by host and are recorded in reports benchmark results JSON for each run.</w:t>
      </w:r>
    </w:p>
    <w:p>
      <w:pPr/>
      <w:r>
        <w:t>Benchmark result: measured on the included synthetic deterministic dataset. These results demonstrate regression coverage for the encoded rules; they do not establish performance on real customer or production financial data.</w:t>
      </w:r>
    </w:p>
    <w:p>
      <w:pPr>
        <w:pStyle w:val="Heading1"/>
      </w:pPr>
      <w:r>
        <w:t>Verification Evidence</w:t>
      </w:r>
    </w:p>
    <w:p>
      <w:pPr>
        <w:spacing w:after="140" w:line="276" w:lineRule="auto"/>
      </w:pPr>
      <w:r>
        <w:t>Automated test suite: 76 passing tests. Checks include automatic case evaluation, evidence and investigation descriptions, access control, tenant isolation, detection decisions, append-only audit storage, immutable financial events, regulatory source safeguards, HTTP security behavior and Razorpay import failure handling.</w:t>
      </w:r>
    </w:p>
    <w:p>
      <w:pPr>
        <w:spacing w:after="140" w:line="276" w:lineRule="auto"/>
      </w:pPr>
      <w:r>
        <w:t>Runtime evidence: local service health checks the current schema; the demo retains tenant-scoped cases and tickets; automatic evaluation is idempotent; the legal page and login-page legal link return HTTP 200; the Razorpay import endpoint returns HTTP 503 without company configuration. The production preflight evaluates twelve deployment prerequisites and fails closed when they are absent.</w:t>
      </w:r>
    </w:p>
    <w:p>
      <w:pPr>
        <w:pStyle w:val="Heading1"/>
      </w:pPr>
      <w:r>
        <w:t>Regulatory Reference Points</w:t>
      </w:r>
    </w:p>
    <w:p>
      <w:pPr>
        <w:spacing w:after="140" w:line="276" w:lineRule="auto"/>
      </w:pPr>
      <w:r>
        <w:t>MeitY: Digital Personal Data Protection Act 2023 and Digital Personal Data Protection Rules 2025.</w:t>
      </w:r>
    </w:p>
    <w:p>
      <w:pPr>
        <w:spacing w:after="140" w:line="276" w:lineRule="auto"/>
      </w:pPr>
      <w:r>
        <w:t>RBI: Restriction on Storage of Actual Card Data, RBI/2022-23/77.</w:t>
      </w:r>
    </w:p>
    <w:p>
      <w:pPr>
        <w:spacing w:after="140" w:line="276" w:lineRule="auto"/>
      </w:pPr>
      <w:r>
        <w:t>RBI: Storage of Payment System Data FAQ and relevant payment-aggregator directions.</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