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00"/>
        <w:tblBorders>
          <w:top w:val="single" w:color="000000" w:sz="12"/>
          <w:left w:val="single" w:color="000000" w:sz="12"/>
          <w:bottom w:val="single" w:color="000000" w:sz="12"/>
          <w:right w:val="single" w:color="000000" w:sz="12"/>
          <w:insideH w:val="none" w:color="FFFFFF" w:sz="0"/>
          <w:insideV w:val="none" w:color="FFFFFF" w:sz="0"/>
        </w:tblBorders>
        <w:tblLayout w:type="fixed"/>
      </w:tblPr>
      <w:tblGrid>
        <w:gridCol w:w="10000"/>
      </w:tblGrid>
      <w:tr>
        <w:tc>
          <w:tcPr>
            <w:tcW w:type="dxa" w:w="10000"/>
            <w:gridSpan w:val="1"/>
            <w:tcMar>
              <w:top w:type="dxa" w:w="60"/>
              <w:left w:type="dxa" w:w="100"/>
              <w:bottom w:type="dxa" w:w="60"/>
              <w:right w:type="dxa" w:w="100"/>
            </w:tcMar>
          </w:tcPr>
          <w:p>
            <w:pPr>
              <w:spacing w:after="120"/>
              <w:jc w:val="center"/>
            </w:pPr>
            <w:r>
              <w:rPr>
                <w:rFonts w:ascii="Times New Roman" w:cs="Times New Roman" w:eastAsia="Times New Roman" w:hAnsi="Times New Roman"/>
                <w:b/>
                <w:bCs/>
                <w:sz w:val="24"/>
                <w:szCs w:val="24"/>
                <w:u w:val="single"/>
              </w:rPr>
              <w:t xml:space="preserve">Department of Artificial Intelligence &amp; Machine Learning</w:t>
            </w:r>
          </w:p>
          <w:p>
            <w:pPr>
              <w:spacing w:after="40"/>
            </w:pPr>
            <w:r>
              <w:rPr>
                <w:rFonts w:ascii="Times New Roman" w:cs="Times New Roman" w:eastAsia="Times New Roman" w:hAnsi="Times New Roman"/>
                <w:b/>
                <w:bCs/>
                <w:sz w:val="22"/>
                <w:szCs w:val="22"/>
              </w:rPr>
              <w:t xml:space="preserve">Program name :- </w:t>
            </w:r>
            <w:r>
              <w:rPr>
                <w:rFonts w:ascii="Times New Roman" w:cs="Times New Roman" w:eastAsia="Times New Roman" w:hAnsi="Times New Roman"/>
                <w:sz w:val="22"/>
                <w:szCs w:val="22"/>
              </w:rPr>
              <w:t xml:space="preserve">Artificial Intelligence &amp; Machine Learning</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Class: </w:t>
            </w:r>
            <w:r>
              <w:rPr>
                <w:rFonts w:ascii="Times New Roman" w:cs="Times New Roman" w:eastAsia="Times New Roman" w:hAnsi="Times New Roman"/>
                <w:sz w:val="22"/>
                <w:szCs w:val="22"/>
              </w:rPr>
              <w:t xml:space="preserve">S.Y. B. Tech</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Div:- </w:t>
            </w:r>
            <w:r>
              <w:rPr>
                <w:rFonts w:ascii="Times New Roman" w:cs="Times New Roman" w:eastAsia="Times New Roman" w:hAnsi="Times New Roman"/>
                <w:sz w:val="22"/>
                <w:szCs w:val="22"/>
              </w:rPr>
              <w:t xml:space="preserve">B</w:t>
            </w:r>
          </w:p>
          <w:p>
            <w:pPr>
              <w:spacing w:after="40"/>
            </w:pPr>
            <w:r>
              <w:rPr>
                <w:rFonts w:ascii="Times New Roman" w:cs="Times New Roman" w:eastAsia="Times New Roman" w:hAnsi="Times New Roman"/>
                <w:b/>
                <w:bCs/>
                <w:sz w:val="22"/>
                <w:szCs w:val="22"/>
              </w:rPr>
              <w:t xml:space="preserve">Name of Student: </w:t>
            </w:r>
            <w:r>
              <w:rPr>
                <w:rFonts w:ascii="Times New Roman" w:cs="Times New Roman" w:eastAsia="Times New Roman" w:hAnsi="Times New Roman"/>
                <w:sz w:val="22"/>
                <w:szCs w:val="22"/>
              </w:rPr>
              <w:t xml:space="preserve">Vicky HarishKumar Badmera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Batch:- </w:t>
            </w:r>
            <w:r>
              <w:rPr>
                <w:rFonts w:ascii="Times New Roman" w:cs="Times New Roman" w:eastAsia="Times New Roman" w:hAnsi="Times New Roman"/>
                <w:sz w:val="22"/>
                <w:szCs w:val="22"/>
              </w:rPr>
              <w:t xml:space="preserve">B-3</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Course Name:- </w:t>
            </w:r>
            <w:r>
              <w:rPr>
                <w:rFonts w:ascii="Times New Roman" w:cs="Times New Roman" w:eastAsia="Times New Roman" w:hAnsi="Times New Roman"/>
                <w:sz w:val="22"/>
                <w:szCs w:val="22"/>
              </w:rPr>
              <w:t xml:space="preserve">AIFM</w:t>
            </w:r>
          </w:p>
          <w:p>
            <w:pPr>
              <w:spacing w:after="40"/>
            </w:pPr>
            <w:r>
              <w:rPr>
                <w:rFonts w:ascii="Times New Roman" w:cs="Times New Roman" w:eastAsia="Times New Roman" w:hAnsi="Times New Roman"/>
                <w:b/>
                <w:bCs/>
                <w:sz w:val="22"/>
                <w:szCs w:val="22"/>
              </w:rPr>
              <w:t xml:space="preserve">PRN No :- </w:t>
            </w:r>
            <w:r>
              <w:rPr>
                <w:rFonts w:ascii="Times New Roman" w:cs="Times New Roman" w:eastAsia="Times New Roman" w:hAnsi="Times New Roman"/>
                <w:sz w:val="22"/>
                <w:szCs w:val="22"/>
              </w:rPr>
              <w:t xml:space="preserve">251142008</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Roll No:- </w:t>
            </w:r>
            <w:r>
              <w:rPr>
                <w:rFonts w:ascii="Times New Roman" w:cs="Times New Roman" w:eastAsia="Times New Roman" w:hAnsi="Times New Roman"/>
                <w:sz w:val="22"/>
                <w:szCs w:val="22"/>
              </w:rPr>
              <w:t xml:space="preserve">32254</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Sem :- </w:t>
            </w:r>
            <w:r>
              <w:rPr>
                <w:rFonts w:ascii="Times New Roman" w:cs="Times New Roman" w:eastAsia="Times New Roman" w:hAnsi="Times New Roman"/>
                <w:sz w:val="22"/>
                <w:szCs w:val="22"/>
              </w:rPr>
              <w:t xml:space="preserve">3rd</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Course :- </w:t>
            </w:r>
            <w:r>
              <w:rPr>
                <w:rFonts w:ascii="Times New Roman" w:cs="Times New Roman" w:eastAsia="Times New Roman" w:hAnsi="Times New Roman"/>
                <w:sz w:val="22"/>
                <w:szCs w:val="22"/>
              </w:rPr>
              <w:t xml:space="preserve">BFSI ( Online )</w:t>
            </w:r>
          </w:p>
        </w:tc>
      </w:tr>
    </w:tbl>
    <w:p>
      <w:pPr>
        <w:spacing w:after="200" w:before="300"/>
      </w:pPr>
    </w:p>
    <w:tbl>
      <w:tblPr>
        <w:tblW w:type="dxa" w:w="10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0"/>
        <w:gridCol w:w="5000"/>
      </w:tblGrid>
      <w:tr>
        <w:tc>
          <w:tcPr>
            <w:tcW w:type="dxa" w:w="5000"/>
            <w:tcBorders>
              <w:top w:val="none" w:color="FFFFFF" w:sz="0"/>
              <w:left w:val="none" w:color="FFFFFF" w:sz="0"/>
              <w:bottom w:val="none" w:color="FFFFFF" w:sz="0"/>
              <w:right w:val="none" w:color="FFFFFF" w:sz="0"/>
            </w:tcBorders>
          </w:tcPr>
          <w:p>
            <w:r>
              <w:drawing>
                <wp:inline distT="0" distB="0" distL="0" distR="0">
                  <wp:extent cx="1171575" cy="75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71575" cy="752475"/>
                          </a:xfrm>
                          <a:prstGeom prst="rect">
                            <a:avLst/>
                          </a:prstGeom>
                        </pic:spPr>
                      </pic:pic>
                    </a:graphicData>
                  </a:graphic>
                </wp:inline>
              </w:drawing>
            </w:r>
          </w:p>
        </w:tc>
        <w:tc>
          <w:tcPr>
            <w:tcW w:type="dxa" w:w="5000"/>
            <w:tcBorders>
              <w:top w:val="none" w:color="FFFFFF" w:sz="0"/>
              <w:left w:val="none" w:color="FFFFFF" w:sz="0"/>
              <w:bottom w:val="none" w:color="FFFFFF" w:sz="0"/>
              <w:right w:val="none" w:color="FFFFFF" w:sz="0"/>
            </w:tcBorders>
          </w:tcPr>
          <w:p>
            <w:pPr>
              <w:jc w:val="right"/>
            </w:pPr>
            <w:r>
              <w:drawing>
                <wp:inline distT="0" distB="0" distL="0" distR="0">
                  <wp:extent cx="137160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71600" cy="676275"/>
                          </a:xfrm>
                          <a:prstGeom prst="rect">
                            <a:avLst/>
                          </a:prstGeom>
                        </pic:spPr>
                      </pic:pic>
                    </a:graphicData>
                  </a:graphic>
                </wp:inline>
              </w:drawing>
            </w:r>
          </w:p>
        </w:tc>
      </w:tr>
    </w:tbl>
    <w:p>
      <w:pPr>
        <w:spacing w:after="300" w:before="160"/>
        <w:jc w:val="center"/>
      </w:pPr>
      <w:r>
        <w:rPr>
          <w:rFonts w:ascii="Times New Roman" w:cs="Times New Roman" w:eastAsia="Times New Roman" w:hAnsi="Times New Roman"/>
          <w:b/>
          <w:bCs/>
          <w:sz w:val="22"/>
          <w:szCs w:val="22"/>
        </w:rPr>
        <w:t xml:space="preserve">SMARTBRIDGE</w:t>
      </w:r>
      <w:r>
        <w:rPr>
          <w:rFonts w:ascii="Times New Roman" w:cs="Times New Roman" w:eastAsia="Times New Roman" w:hAnsi="Times New Roman"/>
          <w:sz w:val="22"/>
          <w:szCs w:val="22"/>
        </w:rPr>
        <w:t xml:space="preserve">    |    </w:t>
      </w:r>
      <w:r>
        <w:rPr>
          <w:rFonts w:ascii="Times New Roman" w:cs="Times New Roman" w:eastAsia="Times New Roman" w:hAnsi="Times New Roman"/>
          <w:b/>
          <w:bCs/>
          <w:sz w:val="22"/>
          <w:szCs w:val="22"/>
        </w:rPr>
        <w:t xml:space="preserve">SKILLWALLET</w:t>
      </w:r>
    </w:p>
    <w:p>
      <w:pPr>
        <w:spacing w:after="300"/>
        <w:jc w:val="center"/>
      </w:pPr>
      <w:r>
        <w:rPr>
          <w:rFonts w:ascii="Times New Roman" w:cs="Times New Roman" w:eastAsia="Times New Roman" w:hAnsi="Times New Roman"/>
          <w:b/>
          <w:bCs/>
          <w:sz w:val="32"/>
          <w:szCs w:val="32"/>
        </w:rPr>
        <w:t xml:space="preserve">LoanWise: AI-Powered Loan Eligibility &amp; Financial Decisioning Platform</w:t>
      </w:r>
    </w:p>
    <w:p>
      <w:pPr>
        <w:spacing w:after="120" w:before="260"/>
      </w:pPr>
      <w:r>
        <w:rPr>
          <w:rFonts w:ascii="Times New Roman" w:cs="Times New Roman" w:eastAsia="Times New Roman" w:hAnsi="Times New Roman"/>
          <w:b/>
          <w:bCs/>
          <w:sz w:val="24"/>
          <w:szCs w:val="24"/>
        </w:rPr>
        <w:t xml:space="preserve">Project Description :-</w:t>
      </w:r>
    </w:p>
    <w:p>
      <w:pPr>
        <w:spacing w:after="160"/>
        <w:jc w:val="both"/>
      </w:pPr>
      <w:r>
        <w:rPr>
          <w:rFonts w:ascii="Times New Roman" w:cs="Times New Roman" w:eastAsia="Times New Roman" w:hAnsi="Times New Roman"/>
          <w:sz w:val="22"/>
          <w:szCs w:val="22"/>
        </w:rPr>
        <w:t xml:space="preserve">LoanWise is an AI-powered BFSI web platform designed to simplify and accelerate everyday financial decision-making. The platform gives users instant access to four core financial tools: a Loan Eligibility Checker, a Credit Score Analyzer, an EMI Calculator, and AI Financial Tips, all built using HTML, CSS and JavaScript with a dark glassmorphism interface.</w:t>
      </w:r>
    </w:p>
    <w:p>
      <w:pPr>
        <w:spacing w:after="160"/>
        <w:jc w:val="both"/>
      </w:pPr>
      <w:r>
        <w:rPr>
          <w:rFonts w:ascii="Times New Roman" w:cs="Times New Roman" w:eastAsia="Times New Roman" w:hAnsi="Times New Roman"/>
          <w:sz w:val="22"/>
          <w:szCs w:val="22"/>
        </w:rPr>
        <w:t xml:space="preserve">The system runs transparent, rule-based lending logic (age, income, obligation-to-income ratio, and credit score bands) alongside real formula-based calculations for credit scoring and EMI amortization. Anthropic's Claude AI is integrated through a secure backend to turn each computed result into a short, plain-language insight the user can act on.</w:t>
      </w:r>
    </w:p>
    <w:p>
      <w:pPr>
        <w:spacing w:after="160"/>
        <w:jc w:val="both"/>
      </w:pPr>
      <w:r>
        <w:rPr>
          <w:rFonts w:ascii="Times New Roman" w:cs="Times New Roman" w:eastAsia="Times New Roman" w:hAnsi="Times New Roman"/>
          <w:sz w:val="22"/>
          <w:szCs w:val="22"/>
        </w:rPr>
        <w:t xml:space="preserve">User submissions are logged through a Google Apps Script backend into Google Sheets for record-keeping, with the Claude API key and Sheet ID held server-side so no credential is ever exposed in the client code or the public repository. The application is fully responsive and was built and deployed entirely from a mobile device.</w:t>
      </w:r>
    </w:p>
    <w:p>
      <w:pPr>
        <w:spacing w:after="120" w:before="260"/>
      </w:pPr>
      <w:r>
        <w:rPr>
          <w:rFonts w:ascii="Times New Roman" w:cs="Times New Roman" w:eastAsia="Times New Roman" w:hAnsi="Times New Roman"/>
          <w:b/>
          <w:bCs/>
          <w:sz w:val="24"/>
          <w:szCs w:val="24"/>
        </w:rPr>
        <w:t xml:space="preserve">Technology &amp; AI :-</w:t>
      </w:r>
    </w:p>
    <w:p>
      <w:pPr>
        <w:spacing w:after="160"/>
        <w:jc w:val="both"/>
      </w:pPr>
      <w:r>
        <w:rPr>
          <w:rFonts w:ascii="Times New Roman" w:cs="Times New Roman" w:eastAsia="Times New Roman" w:hAnsi="Times New Roman"/>
          <w:sz w:val="22"/>
          <w:szCs w:val="22"/>
        </w:rPr>
        <w:t xml:space="preserve">Frontend: HTML5 / CSS3 / JavaScript (vanilla, no framework)</w:t>
      </w:r>
    </w:p>
    <w:p>
      <w:pPr>
        <w:spacing w:after="160"/>
        <w:jc w:val="both"/>
      </w:pPr>
      <w:r>
        <w:rPr>
          <w:rFonts w:ascii="Times New Roman" w:cs="Times New Roman" w:eastAsia="Times New Roman" w:hAnsi="Times New Roman"/>
          <w:sz w:val="22"/>
          <w:szCs w:val="22"/>
        </w:rPr>
        <w:t xml:space="preserve">Backend: Google Apps Script (serverless)</w:t>
      </w:r>
    </w:p>
    <w:p>
      <w:pPr>
        <w:spacing w:after="160"/>
        <w:jc w:val="both"/>
      </w:pPr>
      <w:r>
        <w:rPr>
          <w:rFonts w:ascii="Times New Roman" w:cs="Times New Roman" w:eastAsia="Times New Roman" w:hAnsi="Times New Roman"/>
          <w:sz w:val="22"/>
          <w:szCs w:val="22"/>
        </w:rPr>
        <w:t xml:space="preserve">AI: Anthropic Claude API</w:t>
      </w:r>
    </w:p>
    <w:p>
      <w:pPr>
        <w:spacing w:after="160"/>
        <w:jc w:val="both"/>
      </w:pPr>
      <w:r>
        <w:rPr>
          <w:rFonts w:ascii="Times New Roman" w:cs="Times New Roman" w:eastAsia="Times New Roman" w:hAnsi="Times New Roman"/>
          <w:sz w:val="22"/>
          <w:szCs w:val="22"/>
        </w:rPr>
        <w:t xml:space="preserve">Data Storage: Google Sheets (via Apps Script)</w:t>
      </w:r>
    </w:p>
    <w:p>
      <w:pPr>
        <w:spacing w:after="160"/>
        <w:jc w:val="both"/>
      </w:pPr>
      <w:r>
        <w:rPr>
          <w:rFonts w:ascii="Times New Roman" w:cs="Times New Roman" w:eastAsia="Times New Roman" w:hAnsi="Times New Roman"/>
          <w:sz w:val="22"/>
          <w:szCs w:val="22"/>
        </w:rPr>
        <w:t xml:space="preserve">Deployment: Netlify</w:t>
      </w:r>
    </w:p>
    <w:p>
      <w:pPr>
        <w:spacing w:after="160"/>
        <w:jc w:val="both"/>
      </w:pPr>
      <w:r>
        <w:rPr>
          <w:rFonts w:ascii="Times New Roman" w:cs="Times New Roman" w:eastAsia="Times New Roman" w:hAnsi="Times New Roman"/>
          <w:sz w:val="22"/>
          <w:szCs w:val="22"/>
        </w:rPr>
        <w:t xml:space="preserve">Security: API keys and Sheet ID stored server-side via Script Properties</w:t>
      </w:r>
    </w:p>
    <w:p>
      <w:pPr>
        <w:spacing w:after="120" w:before="260"/>
      </w:pPr>
      <w:r>
        <w:rPr>
          <w:rFonts w:ascii="Times New Roman" w:cs="Times New Roman" w:eastAsia="Times New Roman" w:hAnsi="Times New Roman"/>
          <w:b/>
          <w:bCs/>
          <w:sz w:val="24"/>
          <w:szCs w:val="24"/>
        </w:rPr>
        <w:t xml:space="preserve">Key Features :-</w:t>
      </w:r>
    </w:p>
    <w:p>
      <w:pPr>
        <w:pStyle w:val="ListParagraph"/>
        <w:numPr>
          <w:ilvl w:val="0"/>
          <w:numId w:val="2"/>
        </w:numPr>
        <w:spacing w:after="80"/>
      </w:pPr>
      <w:r>
        <w:rPr>
          <w:rFonts w:ascii="Times New Roman" w:cs="Times New Roman" w:eastAsia="Times New Roman" w:hAnsi="Times New Roman"/>
          <w:sz w:val="22"/>
          <w:szCs w:val="22"/>
        </w:rPr>
        <w:t xml:space="preserve">Transparent, rule-based Loan Eligibility Checker (age, income, FOIR, credit score band)</w:t>
      </w:r>
    </w:p>
    <w:p>
      <w:pPr>
        <w:pStyle w:val="ListParagraph"/>
        <w:numPr>
          <w:ilvl w:val="0"/>
          <w:numId w:val="2"/>
        </w:numPr>
        <w:spacing w:after="80"/>
      </w:pPr>
      <w:r>
        <w:rPr>
          <w:rFonts w:ascii="Times New Roman" w:cs="Times New Roman" w:eastAsia="Times New Roman" w:hAnsi="Times New Roman"/>
          <w:sz w:val="22"/>
          <w:szCs w:val="22"/>
        </w:rPr>
        <w:t xml:space="preserve">Weighted Credit Score Analyzer (300–900) that identifies the single biggest improvement lever</w:t>
      </w:r>
    </w:p>
    <w:p>
      <w:pPr>
        <w:pStyle w:val="ListParagraph"/>
        <w:numPr>
          <w:ilvl w:val="0"/>
          <w:numId w:val="2"/>
        </w:numPr>
        <w:spacing w:after="80"/>
      </w:pPr>
      <w:r>
        <w:rPr>
          <w:rFonts w:ascii="Times New Roman" w:cs="Times New Roman" w:eastAsia="Times New Roman" w:hAnsi="Times New Roman"/>
          <w:sz w:val="22"/>
          <w:szCs w:val="22"/>
        </w:rPr>
        <w:t xml:space="preserve">Live EMI Calculator with a year-by-year amortization schedule</w:t>
      </w:r>
    </w:p>
    <w:p>
      <w:pPr>
        <w:pStyle w:val="ListParagraph"/>
        <w:numPr>
          <w:ilvl w:val="0"/>
          <w:numId w:val="2"/>
        </w:numPr>
        <w:spacing w:after="80"/>
      </w:pPr>
      <w:r>
        <w:rPr>
          <w:rFonts w:ascii="Times New Roman" w:cs="Times New Roman" w:eastAsia="Times New Roman" w:hAnsi="Times New Roman"/>
          <w:sz w:val="22"/>
          <w:szCs w:val="22"/>
        </w:rPr>
        <w:t xml:space="preserve">AI Financial Tips generated from a short income / expense / goal profile</w:t>
      </w:r>
    </w:p>
    <w:p>
      <w:pPr>
        <w:pStyle w:val="ListParagraph"/>
        <w:numPr>
          <w:ilvl w:val="0"/>
          <w:numId w:val="2"/>
        </w:numPr>
        <w:spacing w:after="80"/>
      </w:pPr>
      <w:r>
        <w:rPr>
          <w:rFonts w:ascii="Times New Roman" w:cs="Times New Roman" w:eastAsia="Times New Roman" w:hAnsi="Times New Roman"/>
          <w:sz w:val="22"/>
          <w:szCs w:val="22"/>
        </w:rPr>
        <w:t xml:space="preserve">Claude AI-generated plain-language insight on every module's result</w:t>
      </w:r>
    </w:p>
    <w:p>
      <w:pPr>
        <w:pStyle w:val="ListParagraph"/>
        <w:numPr>
          <w:ilvl w:val="0"/>
          <w:numId w:val="2"/>
        </w:numPr>
        <w:spacing w:after="80"/>
      </w:pPr>
      <w:r>
        <w:rPr>
          <w:rFonts w:ascii="Times New Roman" w:cs="Times New Roman" w:eastAsia="Times New Roman" w:hAnsi="Times New Roman"/>
          <w:sz w:val="22"/>
          <w:szCs w:val="22"/>
        </w:rPr>
        <w:t xml:space="preserve">Secure backend proxy — Claude API key never exposed on the client or in the repository</w:t>
      </w:r>
    </w:p>
    <w:p>
      <w:pPr>
        <w:pStyle w:val="ListParagraph"/>
        <w:numPr>
          <w:ilvl w:val="0"/>
          <w:numId w:val="2"/>
        </w:numPr>
        <w:spacing w:after="80"/>
      </w:pPr>
      <w:r>
        <w:rPr>
          <w:rFonts w:ascii="Times New Roman" w:cs="Times New Roman" w:eastAsia="Times New Roman" w:hAnsi="Times New Roman"/>
          <w:sz w:val="22"/>
          <w:szCs w:val="22"/>
        </w:rPr>
        <w:t xml:space="preserve">Google Sheets logging of every submission for record-keeping</w:t>
      </w:r>
    </w:p>
    <w:p>
      <w:pPr>
        <w:pStyle w:val="ListParagraph"/>
        <w:numPr>
          <w:ilvl w:val="0"/>
          <w:numId w:val="2"/>
        </w:numPr>
        <w:spacing w:after="80"/>
      </w:pPr>
      <w:r>
        <w:rPr>
          <w:rFonts w:ascii="Times New Roman" w:cs="Times New Roman" w:eastAsia="Times New Roman" w:hAnsi="Times New Roman"/>
          <w:sz w:val="22"/>
          <w:szCs w:val="22"/>
        </w:rPr>
        <w:t xml:space="preserve">Responsive dark glassmorphism interface for mobile and desktop</w:t>
      </w:r>
    </w:p>
    <w:p>
      <w:pPr>
        <w:spacing w:after="120" w:before="260"/>
      </w:pPr>
      <w:r>
        <w:rPr>
          <w:rFonts w:ascii="Times New Roman" w:cs="Times New Roman" w:eastAsia="Times New Roman" w:hAnsi="Times New Roman"/>
          <w:b/>
          <w:bCs/>
          <w:sz w:val="24"/>
          <w:szCs w:val="24"/>
        </w:rPr>
        <w:t xml:space="preserve">Scenarios :-</w:t>
      </w:r>
    </w:p>
    <w:p>
      <w:pPr>
        <w:spacing w:after="160"/>
        <w:jc w:val="both"/>
      </w:pPr>
      <w:r>
        <w:rPr>
          <w:rFonts w:ascii="Times New Roman" w:cs="Times New Roman" w:eastAsia="Times New Roman" w:hAnsi="Times New Roman"/>
          <w:b/>
          <w:bCs/>
          <w:sz w:val="22"/>
          <w:szCs w:val="22"/>
        </w:rPr>
        <w:t xml:space="preserve">Scenario 1: </w:t>
      </w:r>
      <w:r>
        <w:rPr>
          <w:rFonts w:ascii="Times New Roman" w:cs="Times New Roman" w:eastAsia="Times New Roman" w:hAnsi="Times New Roman"/>
          <w:sz w:val="22"/>
          <w:szCs w:val="22"/>
        </w:rPr>
        <w:t xml:space="preserve">A user enters their age, income, existing obligations, requested loan amount and credit score. LoanWise runs the FOIR and credit-band rules and returns a pass / conditional / fail verdict along with a realistic borrowing ceiling and a Claude AI explanation of the result.</w:t>
      </w:r>
    </w:p>
    <w:p>
      <w:pPr>
        <w:spacing w:after="160"/>
        <w:jc w:val="both"/>
      </w:pPr>
      <w:r>
        <w:rPr>
          <w:rFonts w:ascii="Times New Roman" w:cs="Times New Roman" w:eastAsia="Times New Roman" w:hAnsi="Times New Roman"/>
          <w:b/>
          <w:bCs/>
          <w:sz w:val="22"/>
          <w:szCs w:val="22"/>
        </w:rPr>
        <w:t xml:space="preserve">Scenario 2: </w:t>
      </w:r>
      <w:r>
        <w:rPr>
          <w:rFonts w:ascii="Times New Roman" w:cs="Times New Roman" w:eastAsia="Times New Roman" w:hAnsi="Times New Roman"/>
          <w:sz w:val="22"/>
          <w:szCs w:val="22"/>
        </w:rPr>
        <w:t xml:space="preserve">A user unsure of their credit score enters factors such as payment history, utilization and credit age. The Credit Score Analyzer computes a weighted 300–900 estimate and highlights the one factor most worth improving.</w:t>
      </w:r>
    </w:p>
    <w:p>
      <w:pPr>
        <w:spacing w:after="160"/>
        <w:jc w:val="both"/>
      </w:pPr>
      <w:r>
        <w:rPr>
          <w:rFonts w:ascii="Times New Roman" w:cs="Times New Roman" w:eastAsia="Times New Roman" w:hAnsi="Times New Roman"/>
          <w:b/>
          <w:bCs/>
          <w:sz w:val="22"/>
          <w:szCs w:val="22"/>
        </w:rPr>
        <w:t xml:space="preserve">Scenario 3: </w:t>
      </w:r>
      <w:r>
        <w:rPr>
          <w:rFonts w:ascii="Times New Roman" w:cs="Times New Roman" w:eastAsia="Times New Roman" w:hAnsi="Times New Roman"/>
          <w:sz w:val="22"/>
          <w:szCs w:val="22"/>
        </w:rPr>
        <w:t xml:space="preserve">A user exploring a loan adjusts principal, interest rate and tenure on live sliders. The EMI Calculator instantly recalculates the monthly EMI, total interest and a year-by-year payoff schedule.</w:t>
      </w:r>
    </w:p>
    <w:p>
      <w:pPr>
        <w:spacing w:after="160"/>
        <w:jc w:val="both"/>
      </w:pPr>
      <w:r>
        <w:rPr>
          <w:rFonts w:ascii="Times New Roman" w:cs="Times New Roman" w:eastAsia="Times New Roman" w:hAnsi="Times New Roman"/>
          <w:b/>
          <w:bCs/>
          <w:sz w:val="22"/>
          <w:szCs w:val="22"/>
        </w:rPr>
        <w:t xml:space="preserve">Scenario 4: </w:t>
      </w:r>
      <w:r>
        <w:rPr>
          <w:rFonts w:ascii="Times New Roman" w:cs="Times New Roman" w:eastAsia="Times New Roman" w:hAnsi="Times New Roman"/>
          <w:sz w:val="22"/>
          <w:szCs w:val="22"/>
        </w:rPr>
        <w:t xml:space="preserve">A user enters monthly income, expenses, debt payments and a savings goal. AI Financial Tips builds a short financial profile and returns prioritized, specific guidance rather than generic advice.</w:t>
      </w:r>
    </w:p>
    <w:p>
      <w:pPr>
        <w:spacing w:after="120" w:before="260"/>
      </w:pPr>
      <w:r>
        <w:rPr>
          <w:rFonts w:ascii="Times New Roman" w:cs="Times New Roman" w:eastAsia="Times New Roman" w:hAnsi="Times New Roman"/>
          <w:b/>
          <w:bCs/>
          <w:sz w:val="24"/>
          <w:szCs w:val="24"/>
        </w:rPr>
        <w:t xml:space="preserve">Milestones :-</w:t>
      </w:r>
    </w:p>
    <w:p>
      <w:pPr>
        <w:spacing w:after="60" w:before="180"/>
      </w:pPr>
      <w:r>
        <w:rPr>
          <w:rFonts w:ascii="Times New Roman" w:cs="Times New Roman" w:eastAsia="Times New Roman" w:hAnsi="Times New Roman"/>
          <w:b/>
          <w:bCs/>
          <w:sz w:val="22"/>
          <w:szCs w:val="22"/>
        </w:rPr>
        <w:t xml:space="preserve">Milestone 1 – Project Planning &amp; UI/UX Design</w:t>
      </w:r>
    </w:p>
    <w:p>
      <w:pPr>
        <w:spacing w:after="160"/>
        <w:jc w:val="both"/>
      </w:pPr>
      <w:r>
        <w:rPr>
          <w:rFonts w:ascii="Times New Roman" w:cs="Times New Roman" w:eastAsia="Times New Roman" w:hAnsi="Times New Roman"/>
          <w:sz w:val="22"/>
          <w:szCs w:val="22"/>
        </w:rPr>
        <w:t xml:space="preserve">Define the objective of LoanWise, finalize the four core modules, and design the dark glassmorphism interface and overall application workflow.</w:t>
      </w:r>
    </w:p>
    <w:p>
      <w:pPr>
        <w:spacing w:after="60" w:before="180"/>
      </w:pPr>
      <w:r>
        <w:rPr>
          <w:rFonts w:ascii="Times New Roman" w:cs="Times New Roman" w:eastAsia="Times New Roman" w:hAnsi="Times New Roman"/>
          <w:b/>
          <w:bCs/>
          <w:sz w:val="22"/>
          <w:szCs w:val="22"/>
        </w:rPr>
        <w:t xml:space="preserve">Milestone 2 – Loan Eligibility &amp; Credit Score Modules</w:t>
      </w:r>
    </w:p>
    <w:p>
      <w:pPr>
        <w:spacing w:after="160"/>
        <w:jc w:val="both"/>
      </w:pPr>
      <w:r>
        <w:rPr>
          <w:rFonts w:ascii="Times New Roman" w:cs="Times New Roman" w:eastAsia="Times New Roman" w:hAnsi="Times New Roman"/>
          <w:sz w:val="22"/>
          <w:szCs w:val="22"/>
        </w:rPr>
        <w:t xml:space="preserve">Build the rule-based Loan Eligibility Checker and the weighted Credit Score Analyzer, including form validation and result rendering.</w:t>
      </w:r>
    </w:p>
    <w:p>
      <w:pPr>
        <w:spacing w:after="60" w:before="180"/>
      </w:pPr>
      <w:r>
        <w:rPr>
          <w:rFonts w:ascii="Times New Roman" w:cs="Times New Roman" w:eastAsia="Times New Roman" w:hAnsi="Times New Roman"/>
          <w:b/>
          <w:bCs/>
          <w:sz w:val="22"/>
          <w:szCs w:val="22"/>
        </w:rPr>
        <w:t xml:space="preserve">Milestone 3 – EMI Calculator &amp; Financial Tips Modules</w:t>
      </w:r>
    </w:p>
    <w:p>
      <w:pPr>
        <w:spacing w:after="160"/>
        <w:jc w:val="both"/>
      </w:pPr>
      <w:r>
        <w:rPr>
          <w:rFonts w:ascii="Times New Roman" w:cs="Times New Roman" w:eastAsia="Times New Roman" w:hAnsi="Times New Roman"/>
          <w:sz w:val="22"/>
          <w:szCs w:val="22"/>
        </w:rPr>
        <w:t xml:space="preserve">Implement the live EMI Calculator with amortization schedule, and the profile-based AI Financial Tips module.</w:t>
      </w:r>
    </w:p>
    <w:p>
      <w:pPr>
        <w:spacing w:after="60" w:before="180"/>
      </w:pPr>
      <w:r>
        <w:rPr>
          <w:rFonts w:ascii="Times New Roman" w:cs="Times New Roman" w:eastAsia="Times New Roman" w:hAnsi="Times New Roman"/>
          <w:b/>
          <w:bCs/>
          <w:sz w:val="22"/>
          <w:szCs w:val="22"/>
        </w:rPr>
        <w:t xml:space="preserve">Milestone 4 – Claude AI &amp; Google Sheets Backend Integration</w:t>
      </w:r>
    </w:p>
    <w:p>
      <w:pPr>
        <w:spacing w:after="160"/>
        <w:jc w:val="both"/>
      </w:pPr>
      <w:r>
        <w:rPr>
          <w:rFonts w:ascii="Times New Roman" w:cs="Times New Roman" w:eastAsia="Times New Roman" w:hAnsi="Times New Roman"/>
          <w:sz w:val="22"/>
          <w:szCs w:val="22"/>
        </w:rPr>
        <w:t xml:space="preserve">Develop the Google Apps Script backend to securely proxy Claude API calls for AI insights and log every submission to Google Sheets.</w:t>
      </w:r>
    </w:p>
    <w:p>
      <w:pPr>
        <w:spacing w:after="60" w:before="180"/>
      </w:pPr>
      <w:r>
        <w:rPr>
          <w:rFonts w:ascii="Times New Roman" w:cs="Times New Roman" w:eastAsia="Times New Roman" w:hAnsi="Times New Roman"/>
          <w:b/>
          <w:bCs/>
          <w:sz w:val="22"/>
          <w:szCs w:val="22"/>
        </w:rPr>
        <w:t xml:space="preserve">Milestone 5 – Testing, Optimization &amp; Deployment</w:t>
      </w:r>
    </w:p>
    <w:p>
      <w:pPr>
        <w:spacing w:after="160"/>
        <w:jc w:val="both"/>
      </w:pPr>
      <w:r>
        <w:rPr>
          <w:rFonts w:ascii="Times New Roman" w:cs="Times New Roman" w:eastAsia="Times New Roman" w:hAnsi="Times New Roman"/>
          <w:sz w:val="22"/>
          <w:szCs w:val="22"/>
        </w:rPr>
        <w:t xml:space="preserve">Test the application across mobile and desktop devices, verify calculations and API responses, and deploy the final application using Netlify.</w:t>
      </w:r>
    </w:p>
    <w:p>
      <w:pPr>
        <w:spacing w:after="120" w:before="260"/>
      </w:pPr>
      <w:r>
        <w:rPr>
          <w:rFonts w:ascii="Times New Roman" w:cs="Times New Roman" w:eastAsia="Times New Roman" w:hAnsi="Times New Roman"/>
          <w:b/>
          <w:bCs/>
          <w:sz w:val="24"/>
          <w:szCs w:val="24"/>
        </w:rPr>
        <w:t xml:space="preserve">Conclusion :-</w:t>
      </w:r>
    </w:p>
    <w:p>
      <w:pPr>
        <w:spacing w:after="160"/>
        <w:jc w:val="both"/>
      </w:pPr>
      <w:r>
        <w:rPr>
          <w:rFonts w:ascii="Times New Roman" w:cs="Times New Roman" w:eastAsia="Times New Roman" w:hAnsi="Times New Roman"/>
          <w:sz w:val="22"/>
          <w:szCs w:val="22"/>
        </w:rPr>
        <w:t xml:space="preserve">LoanWise provides a simple, transparent way for users to understand where they stand on a loan, a credit score, an EMI, or a savings goal before a lender is ever involved. By combining rule-based financial logic, real formula-driven calculations, and Claude AI-generated plain-language insights, the platform helps users make informed financial decisions without needing prior financial expertise. The project demonstrates how AI and modern web technologies can be used to make BFSI decision-making more transparent and accessible.</w:t>
      </w:r>
    </w:p>
    <w:p>
      <w:pPr>
        <w:spacing w:after="120" w:before="260"/>
      </w:pPr>
      <w:r>
        <w:rPr>
          <w:rFonts w:ascii="Times New Roman" w:cs="Times New Roman" w:eastAsia="Times New Roman" w:hAnsi="Times New Roman"/>
          <w:b/>
          <w:bCs/>
          <w:sz w:val="24"/>
          <w:szCs w:val="24"/>
        </w:rPr>
        <w:t xml:space="preserve">Expected Outcome :-</w:t>
      </w:r>
    </w:p>
    <w:p>
      <w:pPr>
        <w:spacing w:after="160"/>
        <w:jc w:val="both"/>
      </w:pPr>
      <w:r>
        <w:rPr>
          <w:rFonts w:ascii="Times New Roman" w:cs="Times New Roman" w:eastAsia="Times New Roman" w:hAnsi="Times New Roman"/>
          <w:sz w:val="22"/>
          <w:szCs w:val="22"/>
        </w:rPr>
        <w:t xml:space="preserve">LoanWise aims to make loan and credit decisions more transparent by replacing opaque approval processes with clear, rule-based criteria and instant feedback. The platform combines real-time calculation, AI-powered explanation, and secure data logging to create a trustworthy financial self-assessment tool for everyday users.</w:t>
      </w:r>
    </w:p>
    <w:sectPr>
      <w:headerReference w:type="default" r:id="rId7"/>
      <w:pgSz w:w="12240" w:h="15840" w:orient="portrait"/>
      <w:pgMar w:top="13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6600"/>
      <w:gridCol w:w="1700"/>
    </w:tblGrid>
    <w:tr>
      <w:tc>
        <w:tcPr>
          <w:tcW w:type="dxa" w:w="1700"/>
          <w:tcBorders>
            <w:top w:val="none" w:color="FFFFFF" w:sz="0"/>
            <w:left w:val="none" w:color="FFFFFF" w:sz="0"/>
            <w:bottom w:val="none" w:color="FFFFFF" w:sz="0"/>
            <w:right w:val="none" w:color="FFFFFF" w:sz="0"/>
          </w:tcBorders>
          <w:vAlign w:val="center"/>
        </w:tcPr>
        <w:p>
          <w:pPr>
            <w:jc w:val="center"/>
          </w:pPr>
          <w:r>
            <w:drawing>
              <wp:inline distT="0" distB="0" distL="0" distR="0">
                <wp:extent cx="942975" cy="110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42975" cy="1104900"/>
                        </a:xfrm>
                        <a:prstGeom prst="rect">
                          <a:avLst/>
                        </a:prstGeom>
                      </pic:spPr>
                    </pic:pic>
                  </a:graphicData>
                </a:graphic>
              </wp:inline>
            </w:drawing>
          </w:r>
        </w:p>
      </w:tc>
      <w:tc>
        <w:tcPr>
          <w:tcW w:type="dxa" w:w="6600"/>
          <w:tcBorders>
            <w:top w:val="none" w:color="FFFFFF" w:sz="0"/>
            <w:left w:val="none" w:color="FFFFFF" w:sz="0"/>
            <w:bottom w:val="none" w:color="FFFFFF" w:sz="0"/>
            <w:right w:val="none" w:color="FFFFFF" w:sz="0"/>
          </w:tcBorders>
          <w:vAlign w:val="center"/>
        </w:tcPr>
        <w:p>
          <w:pPr>
            <w:jc w:val="center"/>
          </w:pPr>
          <w:r>
            <w:rPr>
              <w:rFonts w:ascii="Times New Roman" w:cs="Times New Roman" w:eastAsia="Times New Roman" w:hAnsi="Times New Roman"/>
              <w:b/>
              <w:bCs/>
              <w:i/>
              <w:iCs/>
              <w:sz w:val="22"/>
              <w:szCs w:val="22"/>
            </w:rPr>
            <w:t xml:space="preserve">Dr. D. Y. Patil Educational Federation's</w:t>
          </w:r>
        </w:p>
        <w:p>
          <w:pPr>
            <w:jc w:val="center"/>
          </w:pPr>
          <w:r>
            <w:rPr>
              <w:rFonts w:ascii="Times New Roman" w:cs="Times New Roman" w:eastAsia="Times New Roman" w:hAnsi="Times New Roman"/>
              <w:b/>
              <w:bCs/>
              <w:sz w:val="22"/>
              <w:szCs w:val="22"/>
            </w:rPr>
            <w:t xml:space="preserve">Dr. D. Y. Patil College of Engineering &amp; Innovation</w:t>
          </w:r>
        </w:p>
        <w:p>
          <w:pPr>
            <w:jc w:val="center"/>
          </w:pPr>
          <w:r>
            <w:rPr>
              <w:rFonts w:ascii="Times New Roman" w:cs="Times New Roman" w:eastAsia="Times New Roman" w:hAnsi="Times New Roman"/>
              <w:sz w:val="18"/>
              <w:szCs w:val="18"/>
            </w:rPr>
            <w:t xml:space="preserve">Approved by AICTE, Recognized by Govt. of Maharashtra,</w:t>
          </w:r>
        </w:p>
        <w:p>
          <w:pPr>
            <w:jc w:val="center"/>
          </w:pPr>
          <w:r>
            <w:rPr>
              <w:rFonts w:ascii="Times New Roman" w:cs="Times New Roman" w:eastAsia="Times New Roman" w:hAnsi="Times New Roman"/>
              <w:b/>
              <w:bCs/>
              <w:color w:val="C00000"/>
              <w:sz w:val="18"/>
              <w:szCs w:val="18"/>
            </w:rPr>
            <w:t xml:space="preserve">(An Autonomous Institute Affiliated to Savitribai Phule Pune University)</w:t>
          </w:r>
        </w:p>
        <w:p>
          <w:pPr>
            <w:jc w:val="center"/>
          </w:pPr>
          <w:r>
            <w:rPr>
              <w:rFonts w:ascii="Times New Roman" w:cs="Times New Roman" w:eastAsia="Times New Roman" w:hAnsi="Times New Roman"/>
              <w:b/>
              <w:bCs/>
              <w:color w:val="1F3864"/>
              <w:sz w:val="18"/>
              <w:szCs w:val="18"/>
            </w:rPr>
            <w:t xml:space="preserve">Accredited by NAAC with "A" Grade</w:t>
          </w:r>
        </w:p>
      </w:tc>
      <w:tc>
        <w:tcPr>
          <w:tcW w:type="dxa" w:w="1700"/>
          <w:tcBorders>
            <w:top w:val="none" w:color="FFFFFF" w:sz="0"/>
            <w:left w:val="none" w:color="FFFFFF" w:sz="0"/>
            <w:bottom w:val="none" w:color="FFFFFF" w:sz="0"/>
            <w:right w:val="none" w:color="FFFFFF" w:sz="0"/>
          </w:tcBorders>
          <w:vAlign w:val="center"/>
        </w:tcPr>
        <w:p>
          <w:pPr>
            <w:jc w:val="center"/>
          </w:pPr>
          <w:r>
            <w:drawing>
              <wp:inline distT="0" distB="0" distL="0" distR="0">
                <wp:extent cx="1028700"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028700" cy="942975"/>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685d0ca8ae28d56bf6a2281271c2cd4ba7fde1c6.jpg"/><Relationship Id="rId9" Type="http://schemas.openxmlformats.org/officeDocument/2006/relationships/image" Target="media/ad33b938bc8159892d8bd300422800fbc4c3333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f378370472c512983e08d48f1cd9b2bb842280f.jpg"/><Relationship Id="rId1" Type="http://schemas.openxmlformats.org/officeDocument/2006/relationships/image" Target="media/42b84bfe45e82533224fa1fe44190fa6022a51f8.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2026-09-27T07:47:20.471Z</dcterms:created>
  <dcterms:modified xsi:type="dcterms:W3CDTF">2026-09-27T07:47:20.472Z</dcterms:modified>
</cp:coreProperties>
</file>

<file path=docProps/custom.xml><?xml version="1.0" encoding="utf-8"?>
<Properties xmlns="http://schemas.openxmlformats.org/officeDocument/2006/custom-properties" xmlns:vt="http://schemas.openxmlformats.org/officeDocument/2006/docPropsVTypes"/>
</file>