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Handbook</w:t>
      </w:r>
    </w:p>
    <w:p>
      <w:r>
        <w:t>NovaTech Solutions | Fictional sample document created for a technical assignment.</w:t>
      </w:r>
    </w:p>
    <w:p>
      <w:pPr>
        <w:pStyle w:val="Heading1"/>
      </w:pPr>
      <w:r>
        <w:t>Purpose and working principles</w:t>
      </w:r>
    </w:p>
    <w:p>
      <w:r>
        <w:t>NovaTech Solutions is a fictional mid-sized technology services company used for this demonstration dataset. Its working principles are customer empathy, careful handling of data, written decisions, and measurable outcomes. Employees should document decisions that affect a customer commitment or a production system.</w:t>
      </w:r>
    </w:p>
    <w:p>
      <w:r>
        <w:br w:type="page"/>
      </w:r>
    </w:p>
    <w:p>
      <w:pPr>
        <w:pStyle w:val="Heading1"/>
      </w:pPr>
      <w:r>
        <w:t>Working hours and remote work</w:t>
      </w:r>
    </w:p>
    <w:p>
      <w:r>
        <w:t>The standard collaboration window is 10:00 a.m. to 4:00 p.m. India Standard Time, Monday through Friday. Teams may agree on different schedules when customer coverage requires it. Employees working remotely must use the approved VPN when accessing internal systems. A manager should approve a recurring schedule change before it takes effect.</w:t>
      </w:r>
    </w:p>
    <w:p>
      <w:r>
        <w:br w:type="page"/>
      </w:r>
    </w:p>
    <w:p>
      <w:pPr>
        <w:pStyle w:val="Heading1"/>
      </w:pPr>
      <w:r>
        <w:t>Learning allowance</w:t>
      </w:r>
    </w:p>
    <w:p>
      <w:r>
        <w:t>Each full-time employee may request up to INR 18,000 per financial year for job-related courses, books, or certification exams. The employee must submit the course details and business rationale to their manager before purchase. Reimbursement requires proof of payment and evidence of completion. The allowance does not roll over to the next financial year.</w:t>
      </w:r>
    </w:p>
    <w:p>
      <w:r>
        <w:br w:type="page"/>
      </w:r>
    </w:p>
    <w:p>
      <w:pPr>
        <w:pStyle w:val="Heading1"/>
      </w:pPr>
      <w:r>
        <w:t>Leave and handover</w:t>
      </w:r>
    </w:p>
    <w:p>
      <w:r>
        <w:t>Planned leave should be submitted at least five working days in advance when practical. The employee should identify a handover contact for time-sensitive work. Sick leave should be reported to the manager as soon as reasonably possible; the five-day advance rule does not apply to unexpected illness.</w:t>
      </w:r>
    </w:p>
    <w:p>
      <w:r>
        <w:br w:type="page"/>
      </w:r>
    </w:p>
    <w:p>
      <w:pPr>
        <w:pStyle w:val="Heading1"/>
      </w:pPr>
      <w:r>
        <w:t>Information handling</w:t>
      </w:r>
    </w:p>
    <w:p>
      <w:r>
        <w:t>Company documents should be stored in approved workspaces. Do not place customer identifiers, passwords, API keys, or private employee information in public repositories. Use fictional or anonymized records in demonstrations. Report suspected exposure of sensitive data to Security Operations promptly.</w:t>
      </w:r>
    </w:p>
    <w:p>
      <w:pPr>
        <w:pStyle w:val="Heading1"/>
      </w:pPr>
      <w:r>
        <w:t>Operational examples</w:t>
      </w:r>
    </w:p>
    <w:p>
      <w:r>
        <w:t>Example: Before publishing a dashboard, the analyst confirms the metric definition, date range, timezone, and last successful refresh timestamp.</w:t>
      </w:r>
    </w:p>
    <w:p>
      <w:r>
        <w:t>Example: When a request is missing an owner or business reason, the team records the gap and requests clarification before proceeding.</w:t>
      </w:r>
    </w:p>
    <w:p>
      <w:r>
        <w:t>These examples are illustrative and do not override the policy statements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