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Platform Manual</w:t>
      </w:r>
    </w:p>
    <w:p>
      <w:r>
        <w:t>NovaTech Solutions | Fictional sample document created for a technical assignment.</w:t>
      </w:r>
    </w:p>
    <w:p>
      <w:pPr>
        <w:pStyle w:val="Heading1"/>
      </w:pPr>
      <w:r>
        <w:t>Approved analytics workspace</w:t>
      </w:r>
    </w:p>
    <w:p>
      <w:r>
        <w:t>The analytics workspace is the approved place to publish internal dashboards and scheduled data extracts. Dataset owners are responsible for definitions, refresh schedules, and access review. Analysts should link dashboards to a short description of the metric and its source table.</w:t>
      </w:r>
    </w:p>
    <w:p>
      <w:r>
        <w:br w:type="page"/>
      </w:r>
    </w:p>
    <w:p>
      <w:pPr>
        <w:pStyle w:val="Heading1"/>
      </w:pPr>
      <w:r>
        <w:t>Data refresh schedule</w:t>
      </w:r>
    </w:p>
    <w:p>
      <w:r>
        <w:t>The customer activity warehouse refreshes at 06:30 IST each day. The sales summary refreshes at 07:00 IST. A dashboard should display its last successful refresh time. If a scheduled refresh fails twice in a row, the data owner should open a support ticket and inform dashboard users if the delay affects a decision.</w:t>
      </w:r>
    </w:p>
    <w:p>
      <w:r>
        <w:br w:type="page"/>
      </w:r>
    </w:p>
    <w:p>
      <w:pPr>
        <w:pStyle w:val="Heading1"/>
      </w:pPr>
      <w:r>
        <w:t>Quality checks</w:t>
      </w:r>
    </w:p>
    <w:p>
      <w:r>
        <w:t>A routine quality check compares row counts with the previous comparable load, checks required fields for nulls, and validates known key relationships. Large changes should be investigated rather than automatically removed. Corrections should be recorded with the reason, date, and responsible owner.</w:t>
      </w:r>
    </w:p>
    <w:p>
      <w:r>
        <w:br w:type="page"/>
      </w:r>
    </w:p>
    <w:p>
      <w:pPr>
        <w:pStyle w:val="Heading1"/>
      </w:pPr>
      <w:r>
        <w:t>Metric definitions</w:t>
      </w:r>
    </w:p>
    <w:p>
      <w:r>
        <w:t>Active customer means a customer with at least one qualifying activity event in the last 90 days. Monthly recurring revenue is the normalized monthly value of active subscriptions and excludes one-time implementation fees. A report must state the date range and timezone used for aggregation.</w:t>
      </w:r>
    </w:p>
    <w:p>
      <w:r>
        <w:br w:type="page"/>
      </w:r>
    </w:p>
    <w:p>
      <w:pPr>
        <w:pStyle w:val="Heading1"/>
      </w:pPr>
      <w:r>
        <w:t>Responsible data use</w:t>
      </w:r>
    </w:p>
    <w:p>
      <w:r>
        <w:t>Use only fields needed for the analysis. Prefer aggregate data for broad reporting. Access to row-level customer data requires an approved business reason. When exporting results, check that the destination and intended audience are appropriate.</w:t>
      </w:r>
    </w:p>
    <w:p>
      <w:pPr>
        <w:pStyle w:val="Heading1"/>
      </w:pPr>
      <w:r>
        <w:t>Operational examples</w:t>
      </w:r>
    </w:p>
    <w:p>
      <w:r>
        <w:t>Example: Before publishing a dashboard, the analyst confirms the metric definition, date range, timezone, and last successful refresh timestamp.</w:t>
      </w:r>
    </w:p>
    <w:p>
      <w:r>
        <w:t>Example: When a request is missing an owner or business reason, the team records the gap and requests clarification before proceeding.</w:t>
      </w:r>
    </w:p>
    <w:p>
      <w:r>
        <w:t>These examples are illustrative and do not override the policy statements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