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Lumora AI</w:t>
      </w:r>
    </w:p>
    <w:p>
      <w:r>
        <w:rPr>
          <w:color w:val="555555"/>
        </w:rPr>
        <w:t>Observability for machine learning and generative AI | Bengaluru</w:t>
      </w:r>
    </w:p>
    <w:p>
      <w:r>
        <w:rPr>
          <w:b/>
        </w:rPr>
        <w:t xml:space="preserve">Response to: </w:t>
      </w:r>
      <w:r>
        <w:t>Meridian Financial Services (MFS) - MFS-RFP-2026-031: Enterprise AI Governance and Model Risk Platform</w:t>
        <w:br/>
      </w:r>
      <w:r>
        <w:rPr>
          <w:b/>
        </w:rPr>
        <w:t xml:space="preserve">Submission date: </w:t>
      </w:r>
      <w:r>
        <w:t>2026-10-13</w:t>
      </w:r>
    </w:p>
    <w:p>
      <w:pPr>
        <w:pStyle w:val="Heading2"/>
      </w:pPr>
      <w:r>
        <w:t>1. Executive Summary</w:t>
      </w:r>
    </w:p>
    <w:p>
      <w:r>
        <w:t>Lumora AI offers Lumora Observe, a model observability platform that detects when AI systems drift, degrade or behave unfairly, often before business users notice. We propose Lumora Observe as the technical backbone of MFS's AI governance programme.</w:t>
      </w:r>
    </w:p>
    <w:p>
      <w:pPr>
        <w:pStyle w:val="Heading2"/>
      </w:pPr>
      <w:r>
        <w:t>2. Model Risk and Monitoring</w:t>
      </w:r>
    </w:p>
    <w:p>
      <w:pPr>
        <w:pStyle w:val="ListBullet"/>
      </w:pPr>
      <w:r>
        <w:t>Real-time drift detection on features and predictions with automatic root-cause analysis.</w:t>
      </w:r>
    </w:p>
    <w:p>
      <w:pPr>
        <w:pStyle w:val="ListBullet"/>
      </w:pPr>
      <w:r>
        <w:t>Fairness dashboards with 14 bias metrics and slice-level analysis.</w:t>
      </w:r>
    </w:p>
    <w:p>
      <w:pPr>
        <w:pStyle w:val="ListBullet"/>
      </w:pPr>
      <w:r>
        <w:t>LLM evaluation suite: hallucination scoring, groundedness checks against source documents, toxicity and jailbreak testing, with human review queues.</w:t>
      </w:r>
    </w:p>
    <w:p>
      <w:pPr>
        <w:pStyle w:val="ListBullet"/>
      </w:pPr>
      <w:r>
        <w:t>Explainability using SHAP and counterfactual explanations for every scored record.</w:t>
      </w:r>
    </w:p>
    <w:p>
      <w:r>
        <w:t>Our monitoring has run in production for more than 900 models across our customer base.</w:t>
      </w:r>
    </w:p>
    <w:p>
      <w:pPr>
        <w:pStyle w:val="Heading2"/>
      </w:pPr>
      <w:r>
        <w:t>3. Governance and Policy</w:t>
      </w:r>
    </w:p>
    <w:p>
      <w:r>
        <w:t>Lumora Observe includes a model catalogue with owners and documentation fields. Policy workflows and approval routing are on our product roadmap for the first half of 2027; until then MFS can continue to manage approvals in its existing GRC tool, which we can integrate with through our API.</w:t>
      </w:r>
    </w:p>
    <w:p>
      <w:pPr>
        <w:pStyle w:val="Heading2"/>
      </w:pPr>
      <w:r>
        <w:t>4. Regulatory Compliance</w:t>
      </w:r>
    </w:p>
    <w:p>
      <w:r>
        <w:t>Monitoring evidence can be exported as PDF reports for audit. We are preparing EU AI Act templates. Lumora holds SOC 2 Type II; ISO/IEC 42001 certification is planned for 2027.</w:t>
      </w:r>
    </w:p>
    <w:p>
      <w:pPr>
        <w:pStyle w:val="Heading2"/>
      </w:pPr>
      <w:r>
        <w:t>5. Integration and Deployment</w:t>
      </w:r>
    </w:p>
    <w:p>
      <w:r>
        <w:t>Lightweight SDKs for Python and Java, and native integrations with Databricks, SageMaker, Vertex AI and Kafka. Lumora can be deployed in the customer's own cloud (AWS or Azure, India regions) or as SaaS. A typical rollout takes 10 weeks.</w:t>
      </w:r>
    </w:p>
    <w:p>
      <w:pPr>
        <w:pStyle w:val="Heading2"/>
      </w:pPr>
      <w:r>
        <w:t>6. Commercials and Support</w:t>
      </w:r>
    </w:p>
    <w:tbl>
      <w:tblPr>
        <w:tblStyle w:val="TableGrid"/>
        <w:tblW w:type="auto" w:w="0"/>
        <w:tblLook w:firstColumn="1" w:firstRow="1" w:lastColumn="0" w:lastRow="0" w:noHBand="0" w:noVBand="1" w:val="04A0"/>
      </w:tblPr>
      <w:tblGrid>
        <w:gridCol w:w="4320"/>
        <w:gridCol w:w="4320"/>
      </w:tblGrid>
      <w:tr>
        <w:tc>
          <w:tcPr>
            <w:tcW w:type="dxa" w:w="4320"/>
            <w:shd w:val="clear" w:fill="5B3FA0"/>
          </w:tcPr>
          <w:p>
            <w:r>
              <w:rPr>
                <w:b/>
                <w:color w:val="FFFFFF"/>
                <w:sz w:val="19"/>
              </w:rPr>
              <w:t>Item</w:t>
            </w:r>
          </w:p>
        </w:tc>
        <w:tc>
          <w:tcPr>
            <w:tcW w:type="dxa" w:w="4320"/>
            <w:shd w:val="clear" w:fill="5B3FA0"/>
          </w:tcPr>
          <w:p>
            <w:r>
              <w:rPr>
                <w:b/>
                <w:color w:val="FFFFFF"/>
                <w:sz w:val="19"/>
              </w:rPr>
              <w:t>Amount (INR, excl. GST)</w:t>
            </w:r>
          </w:p>
        </w:tc>
      </w:tr>
      <w:tr>
        <w:tc>
          <w:tcPr>
            <w:tcW w:type="dxa" w:w="4320"/>
          </w:tcPr>
          <w:p>
            <w:r>
              <w:rPr>
                <w:sz w:val="19"/>
              </w:rPr>
              <w:t>Onboarding and integration</w:t>
            </w:r>
          </w:p>
        </w:tc>
        <w:tc>
          <w:tcPr>
            <w:tcW w:type="dxa" w:w="4320"/>
          </w:tcPr>
          <w:p>
            <w:r>
              <w:rPr>
                <w:sz w:val="19"/>
              </w:rPr>
              <w:t>60,00,000</w:t>
            </w:r>
          </w:p>
        </w:tc>
      </w:tr>
      <w:tr>
        <w:tc>
          <w:tcPr>
            <w:tcW w:type="dxa" w:w="4320"/>
          </w:tcPr>
          <w:p>
            <w:r>
              <w:rPr>
                <w:sz w:val="19"/>
              </w:rPr>
              <w:t>Subscription, 3 years (usage-based, up to 200 models)</w:t>
            </w:r>
          </w:p>
        </w:tc>
        <w:tc>
          <w:tcPr>
            <w:tcW w:type="dxa" w:w="4320"/>
          </w:tcPr>
          <w:p>
            <w:r>
              <w:rPr>
                <w:sz w:val="19"/>
              </w:rPr>
              <w:t>2,70,00,000</w:t>
            </w:r>
          </w:p>
        </w:tc>
      </w:tr>
      <w:tr>
        <w:tc>
          <w:tcPr>
            <w:tcW w:type="dxa" w:w="4320"/>
          </w:tcPr>
          <w:p>
            <w:r>
              <w:rPr>
                <w:sz w:val="19"/>
              </w:rPr>
              <w:t>Total three-year cost</w:t>
            </w:r>
          </w:p>
        </w:tc>
        <w:tc>
          <w:tcPr>
            <w:tcW w:type="dxa" w:w="4320"/>
          </w:tcPr>
          <w:p>
            <w:r>
              <w:rPr>
                <w:sz w:val="19"/>
              </w:rPr>
              <w:t>3,30,00,000</w:t>
            </w:r>
          </w:p>
        </w:tc>
      </w:tr>
    </w:tbl>
    <w:p/>
    <w:p>
      <w:r>
        <w:t>Support is available in business hours (IST) with a 4-hour response for critical issues. Reference: a digital lender with 60 production models.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Fictional proposal created for a classroom exercise.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3FA0"/>
        <w:sz w:val="17"/>
      </w:rPr>
      <w:t>Lumora AI  |  Response to MFS-RFP-2026-031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3F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3F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Lumora AI - Response to MFS-RFP-2026-031</dc:title>
  <dc:subject/>
  <dc:creator>Lumora AI</dc:creator>
  <cp:keywords/>
  <dc:description>generated by python-docx</dc:description>
  <cp:lastModifiedBy/>
  <cp:revision>1</cp:revision>
  <dcterms:created xsi:type="dcterms:W3CDTF">2013-12-23T23:15:00Z</dcterms:created>
  <dcterms:modified xsi:type="dcterms:W3CDTF">2013-12-23T23:15:00Z</dcterms:modified>
  <cp:category/>
</cp:coreProperties>
</file>