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76B80"/>
          <w:sz w:val="17"/>
        </w:rPr>
        <w:t>MATERIAL DE CONSULTA · ESCENA 4</w:t>
      </w:r>
    </w:p>
    <w:p>
      <w:pPr>
        <w:pStyle w:val="Title"/>
        <w:spacing w:before="20" w:after="100"/>
      </w:pPr>
      <w:r>
        <w:t>Kit escolar: cursograma analítico resuelto</w:t>
      </w:r>
    </w:p>
    <w:p>
      <w:pPr>
        <w:spacing w:after="160"/>
      </w:pPr>
      <w:r>
        <w:rPr>
          <w:b w:val="0"/>
          <w:i w:val="0"/>
        </w:rPr>
        <w:t>Documento de apoyo para construir el diagrama de recorrido. Caso y valores didácticos.</w:t>
      </w:r>
    </w:p>
    <w:p>
      <w:pPr>
        <w:pStyle w:val="Heading1"/>
      </w:pPr>
      <w:r>
        <w:t>1. Descripción del caso</w:t>
      </w:r>
    </w:p>
    <w:p>
      <w:pPr>
        <w:spacing w:after="80"/>
      </w:pPr>
      <w:r>
        <w:rPr>
          <w:b w:val="0"/>
          <w:i w:val="0"/>
        </w:rPr>
        <w:t>En un área de preparación de pedidos escolares se reúnen los útiles solicitados para formar un kit. Los artículos se verifican y el conjunto se traslada 4 metros a una mesa de empaque. Allí espera 2 minutos hasta disponer de una bolsa. Después se empaca, se inspecciona y se transporta 3 metros hasta un estante, donde permanece almacenado para su entrega posterior.</w:t>
      </w:r>
    </w:p>
    <w:p>
      <w:pPr>
        <w:spacing w:after="100"/>
      </w:pPr>
      <w:r>
        <w:rPr>
          <w:b w:val="0"/>
          <w:i w:val="0"/>
        </w:rPr>
        <w:t>Objeto de estudio: un pedido escolar (material). El registro no representa todos los movimientos de un trabajador. La duración del almacenamiento final no está informada (NI).</w:t>
      </w:r>
    </w:p>
    <w:p>
      <w:pPr>
        <w:pStyle w:val="Heading1"/>
      </w:pPr>
      <w:r>
        <w:t>2. Datos del registro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2592"/>
        <w:gridCol w:w="1037"/>
        <w:gridCol w:w="4637"/>
      </w:tblGrid>
      <w:tr>
        <w:trPr>
          <w:tblHeader/>
        </w:trPr>
        <w:tc>
          <w:tcPr>
            <w:tcW w:type="dxa" w:w="1224"/>
            <w:vAlign w:val="center"/>
            <w:shd w:fill="112A46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</w:pPr>
            <w:r>
              <w:rPr>
                <w:b/>
                <w:color w:val="FFFFFF"/>
                <w:sz w:val="15"/>
              </w:rPr>
              <w:t>Base</w:t>
            </w:r>
          </w:p>
        </w:tc>
        <w:tc>
          <w:tcPr>
            <w:tcW w:type="dxa" w:w="2592"/>
            <w:vAlign w:val="center"/>
            <w:shd w:fill="112A46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</w:pPr>
            <w:r>
              <w:rPr>
                <w:b/>
                <w:color w:val="FFFFFF"/>
                <w:sz w:val="15"/>
              </w:rPr>
              <w:t>Objeto de estudio</w:t>
            </w:r>
          </w:p>
        </w:tc>
        <w:tc>
          <w:tcPr>
            <w:tcW w:type="dxa" w:w="1037"/>
            <w:vAlign w:val="center"/>
            <w:shd w:fill="112A46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</w:pPr>
            <w:r>
              <w:rPr>
                <w:b/>
                <w:color w:val="FFFFFF"/>
                <w:sz w:val="15"/>
              </w:rPr>
              <w:t>Método</w:t>
            </w:r>
          </w:p>
        </w:tc>
        <w:tc>
          <w:tcPr>
            <w:tcW w:type="dxa" w:w="4637"/>
            <w:vAlign w:val="center"/>
            <w:shd w:fill="112A46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</w:pPr>
            <w:r>
              <w:rPr>
                <w:b/>
                <w:color w:val="FFFFFF"/>
                <w:sz w:val="15"/>
              </w:rPr>
              <w:t>Inicio → fin</w:t>
            </w:r>
          </w:p>
        </w:tc>
      </w:tr>
      <w:tr>
        <w:trPr/>
        <w:tc>
          <w:tcPr>
            <w:tcW w:type="dxa" w:w="1224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</w:pPr>
            <w:r>
              <w:rPr>
                <w:sz w:val="16"/>
              </w:rPr>
              <w:t>Material</w:t>
            </w:r>
          </w:p>
        </w:tc>
        <w:tc>
          <w:tcPr>
            <w:tcW w:type="dxa" w:w="2592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</w:pPr>
            <w:r>
              <w:rPr>
                <w:sz w:val="16"/>
              </w:rPr>
              <w:t>1 pedido de kit escolar</w:t>
            </w:r>
          </w:p>
        </w:tc>
        <w:tc>
          <w:tcPr>
            <w:tcW w:type="dxa" w:w="1037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</w:pPr>
            <w:r>
              <w:rPr>
                <w:sz w:val="16"/>
              </w:rPr>
              <w:t>Actual</w:t>
            </w:r>
          </w:p>
        </w:tc>
        <w:tc>
          <w:tcPr>
            <w:tcW w:type="dxa" w:w="4637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</w:pPr>
            <w:r>
              <w:rPr>
                <w:sz w:val="16"/>
              </w:rPr>
              <w:t>Reunión de artículos → estante</w:t>
            </w:r>
          </w:p>
        </w:tc>
      </w:tr>
    </w:tbl>
    <w:p>
      <w:pPr>
        <w:pStyle w:val="Heading1"/>
      </w:pPr>
      <w:r>
        <w:t>3. Cursograma analítico diligenciado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4680"/>
        <w:gridCol w:w="792"/>
        <w:gridCol w:w="979"/>
        <w:gridCol w:w="475"/>
        <w:gridCol w:w="475"/>
        <w:gridCol w:w="475"/>
        <w:gridCol w:w="475"/>
        <w:gridCol w:w="475"/>
      </w:tblGrid>
      <w:tr>
        <w:trPr>
          <w:tblHeader/>
        </w:trPr>
        <w:tc>
          <w:tcPr>
            <w:tcW w:type="dxa" w:w="490"/>
            <w:vAlign w:val="center"/>
            <w:shd w:fill="112A46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  <w:color w:val="FFFFFF"/>
                <w:sz w:val="14"/>
              </w:rPr>
              <w:t>N.º</w:t>
            </w:r>
          </w:p>
        </w:tc>
        <w:tc>
          <w:tcPr>
            <w:tcW w:type="dxa" w:w="4680"/>
            <w:vAlign w:val="center"/>
            <w:shd w:fill="112A46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</w:pPr>
            <w:r>
              <w:rPr>
                <w:b/>
                <w:color w:val="FFFFFF"/>
                <w:sz w:val="14"/>
              </w:rPr>
              <w:t>Actividad</w:t>
            </w:r>
          </w:p>
        </w:tc>
        <w:tc>
          <w:tcPr>
            <w:tcW w:type="dxa" w:w="792"/>
            <w:vAlign w:val="center"/>
            <w:shd w:fill="112A46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  <w:color w:val="FFFFFF"/>
                <w:sz w:val="14"/>
              </w:rPr>
              <w:t>Dist. (m)</w:t>
            </w:r>
          </w:p>
        </w:tc>
        <w:tc>
          <w:tcPr>
            <w:tcW w:type="dxa" w:w="979"/>
            <w:vAlign w:val="center"/>
            <w:shd w:fill="112A46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  <w:color w:val="FFFFFF"/>
                <w:sz w:val="14"/>
              </w:rPr>
              <w:t>Tiempo (min)</w:t>
            </w:r>
          </w:p>
        </w:tc>
        <w:tc>
          <w:tcPr>
            <w:tcW w:type="dxa" w:w="475"/>
            <w:vAlign w:val="center"/>
            <w:shd w:fill="112A46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  <w:color w:val="FFFFFF"/>
                <w:sz w:val="14"/>
              </w:rPr>
              <w:t>O</w:t>
            </w:r>
          </w:p>
        </w:tc>
        <w:tc>
          <w:tcPr>
            <w:tcW w:type="dxa" w:w="475"/>
            <w:vAlign w:val="center"/>
            <w:shd w:fill="112A46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  <w:color w:val="FFFFFF"/>
                <w:sz w:val="14"/>
              </w:rPr>
              <w:t>T</w:t>
            </w:r>
          </w:p>
        </w:tc>
        <w:tc>
          <w:tcPr>
            <w:tcW w:type="dxa" w:w="475"/>
            <w:vAlign w:val="center"/>
            <w:shd w:fill="112A46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  <w:color w:val="FFFFFF"/>
                <w:sz w:val="14"/>
              </w:rPr>
              <w:t>I</w:t>
            </w:r>
          </w:p>
        </w:tc>
        <w:tc>
          <w:tcPr>
            <w:tcW w:type="dxa" w:w="475"/>
            <w:vAlign w:val="center"/>
            <w:shd w:fill="112A46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  <w:color w:val="FFFFFF"/>
                <w:sz w:val="14"/>
              </w:rPr>
              <w:t>E</w:t>
            </w:r>
          </w:p>
        </w:tc>
        <w:tc>
          <w:tcPr>
            <w:tcW w:type="dxa" w:w="475"/>
            <w:vAlign w:val="center"/>
            <w:shd w:fill="112A46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  <w:color w:val="FFFFFF"/>
                <w:sz w:val="14"/>
              </w:rPr>
              <w:t>A</w:t>
            </w:r>
          </w:p>
        </w:tc>
      </w:tr>
      <w:tr>
        <w:trPr/>
        <w:tc>
          <w:tcPr>
            <w:tcW w:type="dxa" w:w="490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680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</w:pPr>
            <w:r>
              <w:rPr>
                <w:sz w:val="14"/>
              </w:rPr>
              <w:t>Los artículos del pedido son reunidos</w:t>
            </w:r>
          </w:p>
        </w:tc>
        <w:tc>
          <w:tcPr>
            <w:tcW w:type="dxa" w:w="792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979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75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●</w:t>
            </w:r>
          </w:p>
        </w:tc>
        <w:tc>
          <w:tcPr>
            <w:tcW w:type="dxa" w:w="475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475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475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475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490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680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</w:pPr>
            <w:r>
              <w:rPr>
                <w:sz w:val="14"/>
              </w:rPr>
              <w:t>Los artículos reunidos son verificados</w:t>
            </w:r>
          </w:p>
        </w:tc>
        <w:tc>
          <w:tcPr>
            <w:tcW w:type="dxa" w:w="792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979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75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475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475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●</w:t>
            </w:r>
          </w:p>
        </w:tc>
        <w:tc>
          <w:tcPr>
            <w:tcW w:type="dxa" w:w="475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475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490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4680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</w:pPr>
            <w:r>
              <w:rPr>
                <w:sz w:val="14"/>
              </w:rPr>
              <w:t>El conjunto es trasladado a la mesa de empaque</w:t>
            </w:r>
          </w:p>
        </w:tc>
        <w:tc>
          <w:tcPr>
            <w:tcW w:type="dxa" w:w="792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979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75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475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●</w:t>
            </w:r>
          </w:p>
        </w:tc>
        <w:tc>
          <w:tcPr>
            <w:tcW w:type="dxa" w:w="475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475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475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490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4680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</w:pPr>
            <w:r>
              <w:rPr>
                <w:sz w:val="14"/>
              </w:rPr>
              <w:t>El conjunto espera disponibilidad de bolsa</w:t>
            </w:r>
          </w:p>
        </w:tc>
        <w:tc>
          <w:tcPr>
            <w:tcW w:type="dxa" w:w="792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979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75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475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475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475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●</w:t>
            </w:r>
          </w:p>
        </w:tc>
        <w:tc>
          <w:tcPr>
            <w:tcW w:type="dxa" w:w="475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490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4680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</w:pPr>
            <w:r>
              <w:rPr>
                <w:sz w:val="14"/>
              </w:rPr>
              <w:t>El conjunto es empacado en una bolsa</w:t>
            </w:r>
          </w:p>
        </w:tc>
        <w:tc>
          <w:tcPr>
            <w:tcW w:type="dxa" w:w="792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979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75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●</w:t>
            </w:r>
          </w:p>
        </w:tc>
        <w:tc>
          <w:tcPr>
            <w:tcW w:type="dxa" w:w="475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475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475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475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490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4680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</w:pPr>
            <w:r>
              <w:rPr>
                <w:sz w:val="14"/>
              </w:rPr>
              <w:t>El paquete es inspeccionado</w:t>
            </w:r>
          </w:p>
        </w:tc>
        <w:tc>
          <w:tcPr>
            <w:tcW w:type="dxa" w:w="792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979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0,5</w:t>
            </w:r>
          </w:p>
        </w:tc>
        <w:tc>
          <w:tcPr>
            <w:tcW w:type="dxa" w:w="475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475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475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●</w:t>
            </w:r>
          </w:p>
        </w:tc>
        <w:tc>
          <w:tcPr>
            <w:tcW w:type="dxa" w:w="475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475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490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type="dxa" w:w="4680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</w:pPr>
            <w:r>
              <w:rPr>
                <w:sz w:val="14"/>
              </w:rPr>
              <w:t>El paquete es trasladado al estante</w:t>
            </w:r>
          </w:p>
        </w:tc>
        <w:tc>
          <w:tcPr>
            <w:tcW w:type="dxa" w:w="792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979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0,5</w:t>
            </w:r>
          </w:p>
        </w:tc>
        <w:tc>
          <w:tcPr>
            <w:tcW w:type="dxa" w:w="475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475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●</w:t>
            </w:r>
          </w:p>
        </w:tc>
        <w:tc>
          <w:tcPr>
            <w:tcW w:type="dxa" w:w="475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475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475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</w:tr>
      <w:tr>
        <w:trPr/>
        <w:tc>
          <w:tcPr>
            <w:tcW w:type="dxa" w:w="490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type="dxa" w:w="4680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</w:pPr>
            <w:r>
              <w:rPr>
                <w:sz w:val="14"/>
              </w:rPr>
              <w:t>El paquete queda almacenado</w:t>
            </w:r>
          </w:p>
        </w:tc>
        <w:tc>
          <w:tcPr>
            <w:tcW w:type="dxa" w:w="792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979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NI</w:t>
            </w:r>
          </w:p>
        </w:tc>
        <w:tc>
          <w:tcPr>
            <w:tcW w:type="dxa" w:w="475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475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475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475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475"/>
            <w:vAlign w:val="center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4"/>
              </w:rPr>
              <w:t>●</w:t>
            </w:r>
          </w:p>
        </w:tc>
      </w:tr>
    </w:tbl>
    <w:p>
      <w:pPr>
        <w:pStyle w:val="Heading1"/>
      </w:pPr>
      <w:r>
        <w:t>4. Resumen y comprobación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1613"/>
        <w:gridCol w:w="1613"/>
        <w:gridCol w:w="1613"/>
        <w:gridCol w:w="1728"/>
        <w:gridCol w:w="1310"/>
      </w:tblGrid>
      <w:tr>
        <w:trPr>
          <w:tblHeader/>
        </w:trPr>
        <w:tc>
          <w:tcPr>
            <w:tcW w:type="dxa" w:w="1613"/>
            <w:vAlign w:val="center"/>
            <w:shd w:fill="112A46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  <w:color w:val="FFFFFF"/>
                <w:sz w:val="15"/>
              </w:rPr>
              <w:t>Operaciones</w:t>
            </w:r>
          </w:p>
        </w:tc>
        <w:tc>
          <w:tcPr>
            <w:tcW w:type="dxa" w:w="1613"/>
            <w:vAlign w:val="center"/>
            <w:shd w:fill="112A46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  <w:color w:val="FFFFFF"/>
                <w:sz w:val="15"/>
              </w:rPr>
              <w:t>Transportes</w:t>
            </w:r>
          </w:p>
        </w:tc>
        <w:tc>
          <w:tcPr>
            <w:tcW w:type="dxa" w:w="1613"/>
            <w:vAlign w:val="center"/>
            <w:shd w:fill="112A46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  <w:color w:val="FFFFFF"/>
                <w:sz w:val="15"/>
              </w:rPr>
              <w:t>Inspecciones</w:t>
            </w:r>
          </w:p>
        </w:tc>
        <w:tc>
          <w:tcPr>
            <w:tcW w:type="dxa" w:w="1613"/>
            <w:vAlign w:val="center"/>
            <w:shd w:fill="112A46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  <w:color w:val="FFFFFF"/>
                <w:sz w:val="15"/>
              </w:rPr>
              <w:t>Esperas</w:t>
            </w:r>
          </w:p>
        </w:tc>
        <w:tc>
          <w:tcPr>
            <w:tcW w:type="dxa" w:w="1728"/>
            <w:vAlign w:val="center"/>
            <w:shd w:fill="112A46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  <w:color w:val="FFFFFF"/>
                <w:sz w:val="15"/>
              </w:rPr>
              <w:t>Almacenamientos</w:t>
            </w:r>
          </w:p>
        </w:tc>
        <w:tc>
          <w:tcPr>
            <w:tcW w:type="dxa" w:w="1310"/>
            <w:vAlign w:val="center"/>
            <w:shd w:fill="112A46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>
        <w:trPr/>
        <w:tc>
          <w:tcPr>
            <w:tcW w:type="dxa" w:w="1613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613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613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613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10"/>
            <w:vAlign w:val="center"/>
            <w:shd w:fill="F7F4EC"/>
            <w:tcBorders>
              <w:top w:val="single" w:color="DCE3E6" w:sz="5"/>
              <w:left w:val="single" w:color="DCE3E6" w:sz="5"/>
              <w:bottom w:val="single" w:color="DCE3E6" w:sz="5"/>
              <w:right w:val="single" w:color="DCE3E6" w:sz="5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sz w:val="16"/>
              </w:rPr>
              <w:t>8</w:t>
            </w:r>
          </w:p>
        </w:tc>
      </w:tr>
    </w:tbl>
    <w:p>
      <w:pPr>
        <w:spacing w:after="60"/>
      </w:pPr>
      <w:r>
        <w:rPr>
          <w:b w:val="0"/>
          <w:i w:val="0"/>
        </w:rPr>
        <w:t>Tiempo cuantificado: 10 min. Distancia de transporte: 7 m. No se suma un tiempo desconocido de almacenamiento. En la tabla, «—» indica distancia no aplicable y «NI» significa no informado.</w:t>
      </w:r>
    </w:p>
    <w:p>
      <w:pPr>
        <w:spacing w:after="0"/>
      </w:pPr>
      <w:r>
        <w:rPr>
          <w:b w:val="0"/>
          <w:i w:val="0"/>
        </w:rPr>
        <w:t>La tabla se refiere al material y clasifica cada actividad con un único símbolo: O = operación; T = transporte; I = inspección; E = espera; A = almacenamiento.</w:t>
      </w:r>
    </w:p>
    <w:p>
      <w:r>
        <w:br w:type="page"/>
      </w:r>
    </w:p>
    <w:p>
      <w:pPr>
        <w:pStyle w:val="Heading1"/>
      </w:pPr>
      <w:r>
        <w:t>5. Diagrama secuencial del cursograma</w:t>
      </w:r>
    </w:p>
    <w:p>
      <w:pPr>
        <w:spacing w:after="60"/>
      </w:pPr>
      <w:r>
        <w:rPr>
          <w:b w:val="0"/>
          <w:i w:val="0"/>
        </w:rPr>
        <w:t>Este diagrama reproduce el orden de las ocho actividades y sus símbolos. No es todavía el diagrama de recorrido, porque no representa la trayectoria sobre un plano físico.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79008" cy="59719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t_cursograma_diagra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5971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Actividad en el laboratorio interactivo</w:t>
      </w:r>
    </w:p>
    <w:p>
      <w:pPr>
        <w:spacing w:after="60"/>
      </w:pPr>
      <w:r>
        <w:rPr>
          <w:b w:val="0"/>
          <w:i w:val="0"/>
        </w:rPr>
        <w:t>Con el documento abierto, traza sobre el plano los dos transportes del kit: 4 m hasta la mesa de empaque y 3 m hasta el estante. Después selecciona «Revisar mi recorrido» y descarga tu plano.</w:t>
      </w:r>
    </w:p>
    <w:p>
      <w:pPr>
        <w:spacing w:after="60"/>
      </w:pPr>
      <w:r>
        <w:rPr>
          <w:b w:val="0"/>
          <w:i w:val="0"/>
        </w:rPr>
        <w:t>Pregunta de análisis: ¿por qué la inspección del paquete no se dibuja como un transporte adicional?</w:t>
      </w:r>
    </w:p>
    <w:p>
      <w:pPr>
        <w:spacing w:after="0"/>
      </w:pPr>
      <w:r>
        <w:rPr>
          <w:b w:val="0"/>
          <w:i/>
        </w:rPr>
        <w:t>Fuente del caso: ejemplo didáctico «Empacar un kit escolar», capítulo de cursograma analítico utilizado previamente en Métodos y Tiempos. Se conservaron sus actividades, distancias y tiempos.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50" w:right="965" w:bottom="965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871"/>
        <w:sz w:val="15"/>
      </w:rPr>
      <w:t>Mg. Vicky Ruiz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76B80"/>
        <w:sz w:val="15"/>
      </w:rPr>
      <w:t>MÉTODOS Y TIEMPOS  /  LABORATORIO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303A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12A46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12A46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112A46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