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color w:val="78716C"/>
          <w:sz w:val="18"/>
          <w:szCs w:val="18"/>
        </w:rPr>
        <w:t xml:space="preserve">CONFIDENTIAL  |  v1.0  |  July 2026</w:t>
      </w:r>
    </w:p>
    <w:p>
      <w:pPr>
        <w:spacing w:after="100"/>
        <w:jc w:val="center"/>
      </w:pPr>
      <w:r>
        <w:rPr>
          <w:b/>
          <w:bCs/>
          <w:color w:val="006044"/>
          <w:sz w:val="68"/>
          <w:szCs w:val="68"/>
        </w:rPr>
        <w:t xml:space="preserve">Strand</w:t>
      </w:r>
    </w:p>
    <w:p>
      <w:pPr>
        <w:spacing w:after="40"/>
        <w:jc w:val="center"/>
      </w:pPr>
      <w:r>
        <w:rPr>
          <w:b/>
          <w:bCs/>
          <w:color w:val="1C1917"/>
          <w:sz w:val="28"/>
          <w:szCs w:val="28"/>
        </w:rPr>
        <w:t xml:space="preserve">Enterprise Work Management Platform</w:t>
      </w:r>
    </w:p>
    <w:p>
      <w:pPr>
        <w:spacing w:after="360"/>
        <w:jc w:val="center"/>
      </w:pPr>
      <w:r>
        <w:rPr>
          <w:color w:val="78716C"/>
          <w:sz w:val="24"/>
          <w:szCs w:val="24"/>
        </w:rPr>
        <w:t xml:space="preserve">Product Requirements Document</w:t>
      </w:r>
    </w:p>
    <w:p>
      <w:pPr>
        <w:spacing w:after="30"/>
        <w:jc w:val="center"/>
      </w:pPr>
      <w:r>
        <w:rPr>
          <w:color w:val="1C1917"/>
          <w:sz w:val="21"/>
          <w:szCs w:val="21"/>
        </w:rPr>
        <w:t xml:space="preserve">Jira Data Center Replacement — Meridian Capital Internal Platform</w:t>
      </w:r>
    </w:p>
    <w:p>
      <w:pPr>
        <w:spacing w:after="900"/>
        <w:jc w:val="center"/>
      </w:pPr>
      <w:r>
        <w:rPr>
          <w:i/>
          <w:iCs/>
          <w:color w:val="78716C"/>
          <w:sz w:val="20"/>
          <w:szCs w:val="20"/>
        </w:rPr>
        <w:t xml:space="preserve">Prepared by Inception Labs</w:t>
      </w:r>
    </w:p>
    <w:p>
      <w:pPr>
        <w:spacing w:after="40"/>
        <w:jc w:val="center"/>
      </w:pPr>
      <w:r>
        <w:rPr>
          <w:i/>
          <w:iCs/>
          <w:color w:val="78716C"/>
          <w:sz w:val="18"/>
          <w:szCs w:val="18"/>
        </w:rPr>
        <w:t xml:space="preserve">"The enterprise capability of Jira. The speed of Linear. The simplicity of Notion.</w:t>
      </w:r>
    </w:p>
    <w:p>
      <w:pPr>
        <w:jc w:val="center"/>
      </w:pPr>
      <w:r>
        <w:rPr>
          <w:i/>
          <w:iCs/>
          <w:color w:val="78716C"/>
          <w:sz w:val="18"/>
          <w:szCs w:val="18"/>
        </w:rPr>
        <w:t xml:space="preserve">The polish of Apple. The scale of AWS. The reliability of banking software."</w:t>
      </w:r>
    </w:p>
    <w:p>
      <w:r>
        <w:br w:type="page"/>
      </w:r>
    </w:p>
    <w:p>
      <w:pPr>
        <w:pStyle w:val="Heading1"/>
        <w:pBdr>
          <w:bottom w:val="single" w:color="006044" w:sz="6" w:space="4"/>
        </w:pBdr>
        <w:spacing w:after="160" w:before="420"/>
      </w:pPr>
      <w:r>
        <w:rPr>
          <w:b/>
          <w:bCs/>
          <w:color w:val="006044"/>
          <w:sz w:val="30"/>
          <w:szCs w:val="30"/>
        </w:rPr>
        <w:t xml:space="preserve">Revision Note</w:t>
      </w:r>
    </w:p>
    <w:p>
      <w:pPr>
        <w:spacing w:after="160" w:line="300"/>
      </w:pPr>
      <w:r>
        <w:rPr>
          <w:b w:val="false"/>
          <w:bCs w:val="false"/>
          <w:i w:val="false"/>
          <w:iCs w:val="false"/>
          <w:sz w:val="21"/>
          <w:szCs w:val="21"/>
        </w:rPr>
        <w:t xml:space="preserve">This is the founding Product Requirements Document for Strand, consolidated from the full discovery, architecture, organizational, and design program conducted with Meridian Capital. Unlike a template-derived PRD, every requirement, number, and decision below is traceable to a specific discovery finding, architecture evaluation, or explicit stakeholder decision made during that program — nothing here is asserted without a basis.</w:t>
      </w:r>
    </w:p>
    <w:p>
      <w:pPr>
        <w:spacing w:after="60" w:before="140"/>
      </w:pPr>
      <w:r>
        <w:rPr>
          <w:b/>
          <w:bCs/>
          <w:color w:val="006044"/>
          <w:sz w:val="21"/>
          <w:szCs w:val="21"/>
        </w:rPr>
        <w:t xml:space="preserve">Open item requiring Product Owner ratification before build begins:</w:t>
      </w:r>
    </w:p>
    <w:p>
      <w:pPr>
        <w:spacing w:after="160" w:line="300"/>
      </w:pPr>
      <w:r>
        <w:rPr>
          <w:b w:val="false"/>
          <w:bCs w:val="false"/>
          <w:i w:val="false"/>
          <w:iCs w:val="false"/>
          <w:sz w:val="21"/>
          <w:szCs w:val="21"/>
        </w:rPr>
        <w:t xml:space="preserve">Whether Jira workflow, field, and permission CONFIGURATION migrates literally (cloning Jira's scheme architecture into Strand) or by equivalent MEANING into Strand's simplified model (recommended — see §6 and §12). Data CONTENT fidelity is absolute either way and is not in question. See §6.4 for the full analysis of both paths.</w:t>
      </w:r>
    </w:p>
    <w:p>
      <w:pPr>
        <w:spacing w:after="60" w:before="140"/>
      </w:pPr>
      <w:r>
        <w:rPr>
          <w:b/>
          <w:bCs/>
          <w:color w:val="006044"/>
          <w:sz w:val="21"/>
          <w:szCs w:val="21"/>
        </w:rPr>
        <w:t xml:space="preserve">What distinguishes this PRD from a standard build spec:</w:t>
      </w:r>
    </w:p>
    <w:p>
      <w:pPr>
        <w:pStyle w:val="ListParagraph"/>
        <w:numPr>
          <w:ilvl w:val="0"/>
          <w:numId w:val="1"/>
        </w:numPr>
        <w:spacing w:after="70"/>
      </w:pPr>
      <w:r>
        <w:rPr>
          <w:sz w:val="21"/>
          <w:szCs w:val="21"/>
        </w:rPr>
        <w:t xml:space="preserve">Every architectural recommendation carries its rationale and the alternatives it beat — not just the conclusion (§5).</w:t>
      </w:r>
    </w:p>
    <w:p>
      <w:pPr>
        <w:pStyle w:val="ListParagraph"/>
        <w:numPr>
          <w:ilvl w:val="0"/>
          <w:numId w:val="1"/>
        </w:numPr>
        <w:spacing w:after="70"/>
      </w:pPr>
      <w:r>
        <w:rPr>
          <w:sz w:val="21"/>
          <w:szCs w:val="21"/>
        </w:rPr>
        <w:t xml:space="preserve">The AI governance model (§7) is treated as a first-class product surface, not a feature bullet, reflecting its regulatory weight at a financial enterprise.</w:t>
      </w:r>
    </w:p>
    <w:p>
      <w:pPr>
        <w:pStyle w:val="ListParagraph"/>
        <w:numPr>
          <w:ilvl w:val="0"/>
          <w:numId w:val="1"/>
        </w:numPr>
        <w:spacing w:after="70"/>
      </w:pPr>
      <w:r>
        <w:rPr>
          <w:sz w:val="21"/>
          <w:szCs w:val="21"/>
        </w:rPr>
        <w:t xml:space="preserve">Scope exclusions are stated as explicitly as inclusions (§4.2) — what Strand deliberately will not do is as important to the program's discipline as what it will.</w:t>
      </w:r>
    </w:p>
    <w:p>
      <w:pPr>
        <w:pStyle w:val="ListParagraph"/>
        <w:numPr>
          <w:ilvl w:val="0"/>
          <w:numId w:val="1"/>
        </w:numPr>
        <w:spacing w:after="70"/>
      </w:pPr>
      <w:r>
        <w:rPr>
          <w:sz w:val="21"/>
          <w:szCs w:val="21"/>
        </w:rPr>
        <w:t xml:space="preserve">A phase-gated delivery roadmap (§11) and named delivery organization (§10) are included because a program of this scale is not fully specified by requirements alone.</w:t>
      </w:r>
    </w:p>
    <w:p>
      <w:pPr>
        <w:spacing w:after="200"/>
      </w:pPr>
    </w:p>
    <w:p>
      <w:pPr>
        <w:pStyle w:val="Heading1"/>
        <w:pBdr>
          <w:bottom w:val="single" w:color="006044" w:sz="6" w:space="4"/>
        </w:pBdr>
        <w:spacing w:after="160" w:before="420"/>
      </w:pPr>
      <w:r>
        <w:rPr>
          <w:b/>
          <w:bCs/>
          <w:color w:val="006044"/>
          <w:sz w:val="30"/>
          <w:szCs w:val="30"/>
        </w:rPr>
        <w:t xml:space="preserve">1. Executive Summary</w:t>
      </w:r>
    </w:p>
    <w:p>
      <w:pPr>
        <w:pStyle w:val="Heading2"/>
        <w:spacing w:after="120" w:before="280"/>
      </w:pPr>
      <w:r>
        <w:rPr>
          <w:b/>
          <w:bCs/>
          <w:color w:val="1C1917"/>
          <w:sz w:val="24"/>
          <w:szCs w:val="24"/>
        </w:rPr>
        <w:t xml:space="preserve">Problem Statement</w:t>
      </w:r>
    </w:p>
    <w:p>
      <w:pPr>
        <w:spacing w:after="160" w:line="300"/>
      </w:pPr>
      <w:r>
        <w:rPr>
          <w:b w:val="false"/>
          <w:bCs w:val="false"/>
          <w:i w:val="false"/>
          <w:iCs w:val="false"/>
          <w:sz w:val="21"/>
          <w:szCs w:val="21"/>
        </w:rPr>
        <w:t xml:space="preserve">Meridian Capital operates one of the largest Jira Data Center deployments in existence: 50,000 licensed users (100,000 directory users), 20,000–25,000 concurrent users at peak, 40,000–50,000 projects, and over ten years of operational history — running Jira Data Center 11.3.6 across six c6i.16xlarge EC2 nodes with Aurora PostgreSQL and cross-region disaster recovery (us-east-1 primary, us-east-2 DR).</w:t>
      </w:r>
    </w:p>
    <w:p>
      <w:pPr>
        <w:spacing w:after="160" w:line="300"/>
      </w:pPr>
      <w:r>
        <w:rPr>
          <w:b w:val="false"/>
          <w:bCs w:val="false"/>
          <w:i w:val="false"/>
          <w:iCs w:val="false"/>
          <w:sz w:val="21"/>
          <w:szCs w:val="21"/>
        </w:rPr>
        <w:t xml:space="preserve">Atlassian has announced End-of-Life for the Data Center product line on a fixed timeline: the app marketplace froze to new Data Center apps in December 2025; new-customer license sales ended March 2026; final license and app-expansion sales close March 2028; and the platform becomes fully read-only on March 28, 2029. A realistic, audited cutover — accounting for parallel-run and sign-off — places the effective deadline in Q2–Q3 2028, roughly 24 months from program start, not the headline 2029 date.</w:t>
      </w:r>
    </w:p>
    <w:p>
      <w:pPr>
        <w:spacing w:after="160" w:line="300"/>
      </w:pPr>
      <w:r>
        <w:rPr>
          <w:b w:val="false"/>
          <w:bCs w:val="false"/>
          <w:i w:val="false"/>
          <w:iCs w:val="false"/>
          <w:sz w:val="21"/>
          <w:szCs w:val="21"/>
        </w:rPr>
        <w:t xml:space="preserve">Migrating to Atlassian Cloud was evaluated and rejected. Meridian Capital already operates entirely on AWS; the objection to Cloud is not infrastructure philosophy but sovereignty — control of the roadmap, the data, the customization surface, and the decade-long cost trajectory. “Self-hosted” in this program means “in Meridian Capital's own AWS account,” not on-premises.</w:t>
      </w:r>
    </w:p>
    <w:p>
      <w:pPr>
        <w:pStyle w:val="Heading2"/>
        <w:spacing w:after="120" w:before="280"/>
      </w:pPr>
      <w:r>
        <w:rPr>
          <w:b/>
          <w:bCs/>
          <w:color w:val="1C1917"/>
          <w:sz w:val="24"/>
          <w:szCs w:val="24"/>
        </w:rPr>
        <w:t xml:space="preserve">Solution Overview</w:t>
      </w:r>
    </w:p>
    <w:p>
      <w:pPr>
        <w:spacing w:after="160" w:line="300"/>
      </w:pPr>
      <w:r>
        <w:rPr>
          <w:b w:val="false"/>
          <w:bCs w:val="false"/>
          <w:i w:val="false"/>
          <w:iCs w:val="false"/>
          <w:sz w:val="21"/>
          <w:szCs w:val="21"/>
        </w:rPr>
        <w:t xml:space="preserve">Strand is an internal, single-tenant enterprise work management platform, deployed in Meridian Capital's own AWS account, that fully replaces Jira Core and Jira Software. The design thesis is ‘familiar bones, modern body’: Jira's information architecture and vocabulary — projects, boards, backlog, sprints, epics, issue keys, a query bar — are deliberately preserved so that 50,000 users' existing mental models transfer without retraining, while the interaction layer is rebuilt around modern patterns: a universal command palette, keyboard-first actions, inline editing on every field, optimistic updates, and honest loading states in place of Jira's page-reload cadence.</w:t>
      </w:r>
    </w:p>
    <w:p>
      <w:pPr>
        <w:spacing w:after="160" w:line="300"/>
      </w:pPr>
      <w:r>
        <w:rPr>
          <w:b w:val="false"/>
          <w:bCs w:val="false"/>
          <w:i w:val="false"/>
          <w:iCs w:val="false"/>
          <w:sz w:val="21"/>
          <w:szCs w:val="21"/>
        </w:rPr>
        <w:t xml:space="preserve">Strand is AI-native but AI-optional by architectural invariant, not by feature flag: every major capability has an AI-enhanced mode, and the entire product remains fully functional with AI disabled — governed exclusively by administrators, never by end users. This is treated as a Tier-0 program principle (§7) because a financial enterprise cannot ship a product that degrades into non-compliance the moment an AI vendor has an outage or a policy changes.</w:t>
      </w:r>
    </w:p>
    <w:p>
      <w:pPr>
        <w:pStyle w:val="Heading2"/>
        <w:spacing w:after="120" w:before="280"/>
      </w:pPr>
      <w:r>
        <w:rPr>
          <w:b/>
          <w:bCs/>
          <w:color w:val="1C1917"/>
          <w:sz w:val="24"/>
          <w:szCs w:val="24"/>
        </w:rPr>
        <w:t xml:space="preserve">Competitive Positioning — What Was Studied and Why It Matters</w:t>
      </w:r>
    </w:p>
    <w:p>
      <w:pPr>
        <w:spacing w:after="160" w:line="300"/>
      </w:pPr>
      <w:r>
        <w:rPr>
          <w:b w:val="false"/>
          <w:bCs w:val="false"/>
          <w:i w:val="false"/>
          <w:iCs w:val="false"/>
          <w:sz w:val="21"/>
          <w:szCs w:val="21"/>
        </w:rPr>
        <w:t xml:space="preserve">Before any design decision was made, the program studied Jira Data Center, Jira Cloud, Linear, ClickUp, Monday.com, Azure DevOps, GitHub Projects, ServiceNow, Notion, Asana, Shortcut, and Height — not to copy any of them, but to understand why each feature exists in the category and which weaknesses are avoidable rather than inherent.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3900"/>
        <w:gridCol w:w="4050"/>
      </w:tblGrid>
      <w:tr>
        <w:trPr>
          <w:tblHeader/>
        </w:trPr>
        <w:tc>
          <w:tcPr>
            <w:tcW w:type="dxa" w:w="140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Studied</w:t>
            </w:r>
          </w:p>
        </w:tc>
        <w:tc>
          <w:tcPr>
            <w:tcW w:type="dxa" w:w="390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What Strand keeps</w:t>
            </w:r>
          </w:p>
        </w:tc>
        <w:tc>
          <w:tcPr>
            <w:tcW w:type="dxa" w:w="405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What Strand deliberately rejects</w:t>
            </w:r>
          </w:p>
        </w:tc>
      </w:tr>
      <w:tr>
        <w:tc>
          <w:tcPr>
            <w:tcW w:type="dxa" w:w="14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Jira DC / Cloud</w:t>
            </w:r>
          </w:p>
        </w:tc>
        <w:tc>
          <w:tcPr>
            <w:tcW w:type="dxa" w:w="39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Vocabulary, project/board/sprint model, issue keys, a JQL-compatible query language, deep customization</w:t>
            </w:r>
          </w:p>
        </w:tc>
        <w:tc>
          <w:tcPr>
            <w:tcW w:type="dxa" w:w="40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Scheme-based configuration sprawl; Java memory/performance profile; per-node index copying; 40-checkbox notification schemes</w:t>
            </w:r>
          </w:p>
        </w:tc>
      </w:tr>
      <w:tr>
        <w:tc>
          <w:tcPr>
            <w:tcW w:type="dxa" w:w="14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Linear</w:t>
            </w:r>
          </w:p>
        </w:tc>
        <w:tc>
          <w:tcPr>
            <w:tcW w:type="dxa" w:w="39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Command-palette-first interaction, keyboard speed, optimistic UI, restrained visual density</w:t>
            </w:r>
          </w:p>
        </w:tc>
        <w:tc>
          <w:tcPr>
            <w:tcW w:type="dxa" w:w="40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Its lack of enterprise depth (permission granularity, audit rigor, ITSM-adjacent workflows) — not a target market for this program's scale</w:t>
            </w:r>
          </w:p>
        </w:tc>
      </w:tr>
      <w:tr>
        <w:tc>
          <w:tcPr>
            <w:tcW w:type="dxa" w:w="14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Notion</w:t>
            </w:r>
          </w:p>
        </w:tc>
        <w:tc>
          <w:tcPr>
            <w:tcW w:type="dxa" w:w="39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Simplicity as a design value; that flexibility should not cost speed</w:t>
            </w:r>
          </w:p>
        </w:tc>
        <w:tc>
          <w:tcPr>
            <w:tcW w:type="dxa" w:w="40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Full document-database flexibility — Strand is opinionated about work-item structure by design</w:t>
            </w:r>
          </w:p>
        </w:tc>
      </w:tr>
      <w:tr>
        <w:tc>
          <w:tcPr>
            <w:tcW w:type="dxa" w:w="14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ClickUp / Monday.com</w:t>
            </w:r>
          </w:p>
        </w:tc>
        <w:tc>
          <w:tcPr>
            <w:tcW w:type="dxa" w:w="39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Nothing structurally — studied primarily as cautionary examples</w:t>
            </w:r>
          </w:p>
        </w:tc>
        <w:tc>
          <w:tcPr>
            <w:tcW w:type="dxa" w:w="40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Feature-count-as-value strategy; color-and-chrome-heavy UI that reads as consumer, not professional-grade</w:t>
            </w:r>
          </w:p>
        </w:tc>
      </w:tr>
      <w:tr>
        <w:tc>
          <w:tcPr>
            <w:tcW w:type="dxa" w:w="14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ServiceNow</w:t>
            </w:r>
          </w:p>
        </w:tc>
        <w:tc>
          <w:tcPr>
            <w:tcW w:type="dxa" w:w="39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Governance rigor, audit-mindedness, change-management discipline</w:t>
            </w:r>
          </w:p>
        </w:tc>
        <w:tc>
          <w:tcPr>
            <w:tcW w:type="dxa" w:w="40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ITSM/CMDB scope — explicitly excluded from Phase 1 (§4.2)</w:t>
            </w:r>
          </w:p>
        </w:tc>
      </w:tr>
      <w:tr>
        <w:tc>
          <w:tcPr>
            <w:tcW w:type="dxa" w:w="14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Azure DevOps / GitHub Projects</w:t>
            </w:r>
          </w:p>
        </w:tc>
        <w:tc>
          <w:tcPr>
            <w:tcW w:type="dxa" w:w="39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Engineering-native workflow integration expectations</w:t>
            </w:r>
          </w:p>
        </w:tc>
        <w:tc>
          <w:tcPr>
            <w:tcW w:type="dxa" w:w="40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Tight coupling to a single source-control ecosystem</w:t>
            </w:r>
          </w:p>
        </w:tc>
      </w:tr>
    </w:tbl>
    <w:p>
      <w:pPr>
        <w:pBdr>
          <w:left w:val="single" w:color="76A923" w:sz="24" w:space="8"/>
        </w:pBdr>
        <w:shd w:fill="F2F1EF" w:val="clear"/>
        <w:spacing w:after="200" w:before="120"/>
        <w:ind w:left="200"/>
      </w:pPr>
      <w:r>
        <w:rPr>
          <w:i/>
          <w:iCs/>
          <w:color w:val="1C1917"/>
          <w:sz w:val="20"/>
          <w:szCs w:val="20"/>
        </w:rPr>
        <w:t xml:space="preserve">The founding brief for this program was explicit: do not optimize for feature count — optimize for enterprise usability. Study every competitor's reasons for existing; keep what is genuinely valuable; remove what is merely accumulated complexity.</w:t>
      </w:r>
    </w:p>
    <w:p>
      <w:pPr>
        <w:pStyle w:val="Heading2"/>
        <w:spacing w:after="120" w:before="280"/>
      </w:pPr>
      <w:r>
        <w:rPr>
          <w:b/>
          <w:bCs/>
          <w:color w:val="1C1917"/>
          <w:sz w:val="24"/>
          <w:szCs w:val="24"/>
        </w:rPr>
        <w:t xml:space="preserve">Business Objectives</w:t>
      </w:r>
    </w:p>
    <w:p>
      <w:pPr>
        <w:pStyle w:val="ListParagraph"/>
        <w:numPr>
          <w:ilvl w:val="0"/>
          <w:numId w:val="1"/>
        </w:numPr>
        <w:spacing w:after="70"/>
      </w:pPr>
      <w:r>
        <w:rPr>
          <w:sz w:val="21"/>
          <w:szCs w:val="21"/>
        </w:rPr>
        <w:t xml:space="preserve">Fully replace Jira Core + Jira Software ahead of the March 2029 read-only deadline, targeting production cutover by Q2–Q3 2028.</w:t>
      </w:r>
    </w:p>
    <w:p>
      <w:pPr>
        <w:pStyle w:val="ListParagraph"/>
        <w:numPr>
          <w:ilvl w:val="0"/>
          <w:numId w:val="1"/>
        </w:numPr>
        <w:spacing w:after="70"/>
      </w:pPr>
      <w:r>
        <w:rPr>
          <w:sz w:val="21"/>
          <w:szCs w:val="21"/>
        </w:rPr>
        <w:t xml:space="preserve">Migrate 10+ years of Jira history with absolute data fidelity, while modernizing configuration rather than cloning Jira's scheme architecture (see §6.4).</w:t>
      </w:r>
    </w:p>
    <w:p>
      <w:pPr>
        <w:pStyle w:val="ListParagraph"/>
        <w:numPr>
          <w:ilvl w:val="0"/>
          <w:numId w:val="1"/>
        </w:numPr>
        <w:spacing w:after="70"/>
      </w:pPr>
      <w:r>
        <w:rPr>
          <w:sz w:val="21"/>
          <w:szCs w:val="21"/>
        </w:rPr>
        <w:t xml:space="preserve">Materially improve performance and reduce operational toil relative to the current 6-node cluster — specifically targeting the three confirmed pain points: slow page loads, memory pressure from the JVM runtime (observed at only ~10% average CPU utilization per node, indicating memory — not compute — is the binding constraint), and multi-minute index synchronization delays on new node launch.</w:t>
      </w:r>
    </w:p>
    <w:p>
      <w:pPr>
        <w:pStyle w:val="ListParagraph"/>
        <w:numPr>
          <w:ilvl w:val="0"/>
          <w:numId w:val="1"/>
        </w:numPr>
        <w:spacing w:after="70"/>
      </w:pPr>
      <w:r>
        <w:rPr>
          <w:sz w:val="21"/>
          <w:szCs w:val="21"/>
        </w:rPr>
        <w:t xml:space="preserve">Establish an internal extensibility ecosystem (add-on marketplace + SDK) so Meridian Capital's own engineers can build on Strand the way the organization built on the Atlassian Marketplace.</w:t>
      </w:r>
    </w:p>
    <w:p>
      <w:pPr>
        <w:pStyle w:val="ListParagraph"/>
        <w:numPr>
          <w:ilvl w:val="0"/>
          <w:numId w:val="1"/>
        </w:numPr>
        <w:spacing w:after="70"/>
      </w:pPr>
      <w:r>
        <w:rPr>
          <w:sz w:val="21"/>
          <w:szCs w:val="21"/>
        </w:rPr>
        <w:t xml:space="preserve">Deliver AI capabilities that are governed, metered, and fully auditable — appropriate for a regulated financial enterprise — with zero mandatory dependency on AI for any core workflow.</w:t>
      </w:r>
    </w:p>
    <w:p>
      <w:pPr>
        <w:pStyle w:val="ListParagraph"/>
        <w:numPr>
          <w:ilvl w:val="0"/>
          <w:numId w:val="1"/>
        </w:numPr>
        <w:spacing w:after="70"/>
      </w:pPr>
      <w:r>
        <w:rPr>
          <w:sz w:val="21"/>
          <w:szCs w:val="21"/>
        </w:rPr>
        <w:t xml:space="preserve">Own the platform's cost trajectory and roadmap for the next decade rather than remaining subject to a vendor's cloud pricing and product direction.</w:t>
      </w:r>
    </w:p>
    <w:p>
      <w:pPr>
        <w:pStyle w:val="Heading2"/>
        <w:spacing w:after="120" w:before="280"/>
      </w:pPr>
      <w:r>
        <w:rPr>
          <w:b/>
          <w:bCs/>
          <w:color w:val="1C1917"/>
          <w:sz w:val="24"/>
          <w:szCs w:val="24"/>
        </w:rPr>
        <w:t xml:space="preserve">Deployment Model</w:t>
      </w:r>
    </w:p>
    <w:p>
      <w:pPr>
        <w:spacing w:after="160" w:line="300"/>
      </w:pPr>
      <w:r>
        <w:rPr>
          <w:b w:val="false"/>
          <w:bCs w:val="false"/>
          <w:i w:val="false"/>
          <w:iCs w:val="false"/>
          <w:sz w:val="21"/>
          <w:szCs w:val="21"/>
        </w:rPr>
        <w:t xml:space="preserve">Strand is a single-tenant platform deployed inside Meridian Capital's own AWS account on Amazon EKS, built by Inception Labs in partnership with Meridian Capital's platform engineering team — who bring direct Jira DC operational experience and assume full operational ownership post-launch. This is not a commercial multi-tenant SaaS product, and no multi-tenancy engineering is undertaken in this phase.</w:t>
      </w:r>
    </w:p>
    <w:p>
      <w:r>
        <w:br w:type="page"/>
      </w:r>
    </w:p>
    <w:p>
      <w:pPr>
        <w:pStyle w:val="Heading1"/>
        <w:pBdr>
          <w:bottom w:val="single" w:color="006044" w:sz="6" w:space="4"/>
        </w:pBdr>
        <w:spacing w:after="160" w:before="420"/>
      </w:pPr>
      <w:r>
        <w:rPr>
          <w:b/>
          <w:bCs/>
          <w:color w:val="006044"/>
          <w:sz w:val="30"/>
          <w:szCs w:val="30"/>
        </w:rPr>
        <w:t xml:space="preserve">2. Stakeholders &amp; Personas</w:t>
      </w:r>
    </w:p>
    <w:p>
      <w:pPr>
        <w:pStyle w:val="Heading2"/>
        <w:spacing w:after="120" w:before="280"/>
      </w:pPr>
      <w:r>
        <w:rPr>
          <w:b/>
          <w:bCs/>
          <w:color w:val="1C1917"/>
          <w:sz w:val="24"/>
          <w:szCs w:val="24"/>
        </w:rPr>
        <w:t xml:space="preserve">2.1 End User</w:t>
      </w:r>
    </w:p>
    <w:p>
      <w:pPr>
        <w:spacing w:after="160" w:line="300"/>
      </w:pPr>
      <w:r>
        <w:rPr>
          <w:b w:val="false"/>
          <w:bCs w:val="false"/>
          <w:i w:val="false"/>
          <w:iCs w:val="false"/>
          <w:sz w:val="21"/>
          <w:szCs w:val="21"/>
        </w:rPr>
        <w:t xml:space="preserve">Engineers, product managers, QA, and business-team employees (finance, legal, HR functions that also live in Jira today) across Meridian Capital. 50,000 licensed users; 20,000–25,000 concurrent at peak. Ranges from light occasional users to power users with a decade of query-language muscle memory whose workflows must not be broken by the transition.</w:t>
      </w:r>
    </w:p>
    <w:p>
      <w:pPr>
        <w:pStyle w:val="Heading2"/>
        <w:spacing w:after="120" w:before="280"/>
      </w:pPr>
      <w:r>
        <w:rPr>
          <w:b/>
          <w:bCs/>
          <w:color w:val="1C1917"/>
          <w:sz w:val="24"/>
          <w:szCs w:val="24"/>
        </w:rPr>
        <w:t xml:space="preserve">2.2 Project / Team Admin</w:t>
      </w:r>
    </w:p>
    <w:p>
      <w:pPr>
        <w:spacing w:after="160" w:line="300"/>
      </w:pPr>
      <w:r>
        <w:rPr>
          <w:b w:val="false"/>
          <w:bCs w:val="false"/>
          <w:i w:val="false"/>
          <w:iCs w:val="false"/>
          <w:sz w:val="21"/>
          <w:szCs w:val="21"/>
        </w:rPr>
        <w:t xml:space="preserve">Configures a project's access, workflow, fields, and automation. Interacts through Strand's plain-language Access model and visual Workflow Editor rather than Jira's permission and workflow schemes — the explicit design goal is that a project lead with zero training can correctly answer “who can see this” within ten seconds.</w:t>
      </w:r>
    </w:p>
    <w:p>
      <w:pPr>
        <w:pStyle w:val="Heading2"/>
        <w:spacing w:after="120" w:before="280"/>
      </w:pPr>
      <w:r>
        <w:rPr>
          <w:b/>
          <w:bCs/>
          <w:color w:val="1C1917"/>
          <w:sz w:val="24"/>
          <w:szCs w:val="24"/>
        </w:rPr>
        <w:t xml:space="preserve">2.3 Platform Administrator</w:t>
      </w:r>
    </w:p>
    <w:p>
      <w:pPr>
        <w:spacing w:after="160" w:line="300"/>
      </w:pPr>
      <w:r>
        <w:rPr>
          <w:b w:val="false"/>
          <w:bCs w:val="false"/>
          <w:i w:val="false"/>
          <w:iCs w:val="false"/>
          <w:sz w:val="21"/>
          <w:szCs w:val="21"/>
        </w:rPr>
        <w:t xml:space="preserve">Meridian Capital's central platform/IT team — substantially the same team operating Jira DC today. Manages users and teams, global configuration, the AI governance console (usage metering, per-team budgets, enablement policy), the add-on marketplace review queue, the audit log, and system health.</w:t>
      </w:r>
    </w:p>
    <w:p>
      <w:pPr>
        <w:pStyle w:val="Heading2"/>
        <w:spacing w:after="120" w:before="280"/>
      </w:pPr>
      <w:r>
        <w:rPr>
          <w:b/>
          <w:bCs/>
          <w:color w:val="1C1917"/>
          <w:sz w:val="24"/>
          <w:szCs w:val="24"/>
        </w:rPr>
        <w:t xml:space="preserve">2.4 Compliance / Internal Audit</w:t>
      </w:r>
    </w:p>
    <w:p>
      <w:pPr>
        <w:spacing w:after="160" w:line="300"/>
      </w:pPr>
      <w:r>
        <w:rPr>
          <w:b w:val="false"/>
          <w:bCs w:val="false"/>
          <w:i w:val="false"/>
          <w:iCs w:val="false"/>
          <w:sz w:val="21"/>
          <w:szCs w:val="21"/>
        </w:rPr>
        <w:t xml:space="preserve">Reviews the audit trail for regulated activity, signs off on migration reconciliation evidence per wave, and approves the design of regulated data-handling capabilities (PII guard, retention, AI interaction logging). This persona's requirements are treated as binding design constraints, not late-stage review items.</w:t>
      </w:r>
    </w:p>
    <w:p>
      <w:pPr>
        <w:pStyle w:val="Heading2"/>
        <w:spacing w:after="120" w:before="280"/>
      </w:pPr>
      <w:r>
        <w:rPr>
          <w:b/>
          <w:bCs/>
          <w:color w:val="1C1917"/>
          <w:sz w:val="24"/>
          <w:szCs w:val="24"/>
        </w:rPr>
        <w:t xml:space="preserve">2.5 L1 Support Team</w:t>
      </w:r>
    </w:p>
    <w:p>
      <w:pPr>
        <w:spacing w:after="160" w:line="300"/>
      </w:pPr>
      <w:r>
        <w:rPr>
          <w:b w:val="false"/>
          <w:bCs w:val="false"/>
          <w:i w:val="false"/>
          <w:iCs w:val="false"/>
          <w:sz w:val="21"/>
          <w:szCs w:val="21"/>
        </w:rPr>
        <w:t xml:space="preserve">An existing, separate first-line support function that triages user issues before escalation to the platform/build team (L2/L3). No change to this team's structure is required by this program.</w:t>
      </w:r>
    </w:p>
    <w:p>
      <w:pPr>
        <w:pStyle w:val="Heading2"/>
        <w:spacing w:after="120" w:before="280"/>
      </w:pPr>
      <w:r>
        <w:rPr>
          <w:b/>
          <w:bCs/>
          <w:color w:val="1C1917"/>
          <w:sz w:val="24"/>
          <w:szCs w:val="24"/>
        </w:rPr>
        <w:t xml:space="preserve">2.6 Internal Add-on Developer</w:t>
      </w:r>
    </w:p>
    <w:p>
      <w:pPr>
        <w:spacing w:after="160" w:line="300"/>
      </w:pPr>
      <w:r>
        <w:rPr>
          <w:b w:val="false"/>
          <w:bCs w:val="false"/>
          <w:i w:val="false"/>
          <w:iCs w:val="false"/>
          <w:sz w:val="21"/>
          <w:szCs w:val="21"/>
        </w:rPr>
        <w:t xml:space="preserve">Meridian Capital engineers, outside the core Strand team, who build internal add-ons against the Strand SDK to replace or extend specific Jira Marketplace app functionality currently in use (candidates include time-tracking, test-management, and reporting apps — final inventory pending discovery).</w:t>
      </w:r>
    </w:p>
    <w:p>
      <w:pPr>
        <w:pStyle w:val="Heading2"/>
        <w:spacing w:after="120" w:before="280"/>
      </w:pPr>
      <w:r>
        <w:rPr>
          <w:b/>
          <w:bCs/>
          <w:color w:val="1C1917"/>
          <w:sz w:val="24"/>
          <w:szCs w:val="24"/>
        </w:rPr>
        <w:t xml:space="preserve">2.7 Delivery Organization (program-internal)</w:t>
      </w:r>
    </w:p>
    <w:p>
      <w:pPr>
        <w:spacing w:after="160" w:line="300"/>
      </w:pPr>
      <w:r>
        <w:rPr>
          <w:b w:val="false"/>
          <w:bCs w:val="false"/>
          <w:i w:val="false"/>
          <w:iCs w:val="false"/>
          <w:sz w:val="21"/>
          <w:szCs w:val="21"/>
        </w:rPr>
        <w:t xml:space="preserve">A small, senior, AI-augmented build team: one architect, one product owner, engineers spanning 10, 6, and 2–3 years of experience, with platform/DevOps and direct Jira DC maintenance experience. AI-assisted development carries the majority of implementation volume under defined human review gates (see §10).</w:t>
      </w:r>
    </w:p>
    <w:p>
      <w:r>
        <w:br w:type="page"/>
      </w:r>
    </w:p>
    <w:p>
      <w:pPr>
        <w:pStyle w:val="Heading1"/>
        <w:pBdr>
          <w:bottom w:val="single" w:color="006044" w:sz="6" w:space="4"/>
        </w:pBdr>
        <w:spacing w:after="160" w:before="420"/>
      </w:pPr>
      <w:r>
        <w:rPr>
          <w:b/>
          <w:bCs/>
          <w:color w:val="006044"/>
          <w:sz w:val="30"/>
          <w:szCs w:val="30"/>
        </w:rPr>
        <w:t xml:space="preserve">3. Current State — Environment Baseline</w:t>
      </w:r>
    </w:p>
    <w:p>
      <w:pPr>
        <w:spacing w:after="160" w:line="300"/>
      </w:pPr>
      <w:r>
        <w:rPr>
          <w:b w:val="false"/>
          <w:bCs w:val="false"/>
          <w:i w:val="false"/>
          <w:iCs w:val="false"/>
          <w:sz w:val="21"/>
          <w:szCs w:val="21"/>
        </w:rPr>
        <w:t xml:space="preserve">Every requirement in this document is calibrated against the following verified baseline, gathered during program discovery. This is among the largest Jira deployments in existence; the performance and reliability bar for Strand is set by one of the hardest Jira workloads anywhere, not a generic mid-market deployment.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Dimension</w:t>
            </w:r>
          </w:p>
        </w:tc>
        <w:tc>
          <w:tcPr>
            <w:tcW w:type="dxa" w:w="635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Current state</w:t>
            </w:r>
          </w:p>
        </w:tc>
      </w:tr>
      <w:tr>
        <w:tc>
          <w:tcPr>
            <w:tcW w:type="dxa" w:w="30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Directory users</w:t>
            </w:r>
          </w:p>
        </w:tc>
        <w:tc>
          <w:tcPr>
            <w:tcW w:type="dxa" w:w="63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100,000</w:t>
            </w:r>
          </w:p>
        </w:tc>
      </w:tr>
      <w:tr>
        <w:tc>
          <w:tcPr>
            <w:tcW w:type="dxa" w:w="30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Licensed users</w:t>
            </w:r>
          </w:p>
        </w:tc>
        <w:tc>
          <w:tcPr>
            <w:tcW w:type="dxa" w:w="63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50,000</w:t>
            </w:r>
          </w:p>
        </w:tc>
      </w:tr>
      <w:tr>
        <w:tc>
          <w:tcPr>
            <w:tcW w:type="dxa" w:w="30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Peak concurrent users</w:t>
            </w:r>
          </w:p>
        </w:tc>
        <w:tc>
          <w:tcPr>
            <w:tcW w:type="dxa" w:w="63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20,000–25,000</w:t>
            </w:r>
          </w:p>
        </w:tc>
      </w:tr>
      <w:tr>
        <w:tc>
          <w:tcPr>
            <w:tcW w:type="dxa" w:w="30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Projects</w:t>
            </w:r>
          </w:p>
        </w:tc>
        <w:tc>
          <w:tcPr>
            <w:tcW w:type="dxa" w:w="63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40,000–50,000 (active/dormant split pending discovery extraction)</w:t>
            </w:r>
          </w:p>
        </w:tc>
      </w:tr>
      <w:tr>
        <w:tc>
          <w:tcPr>
            <w:tcW w:type="dxa" w:w="30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History</w:t>
            </w:r>
          </w:p>
        </w:tc>
        <w:tc>
          <w:tcPr>
            <w:tcW w:type="dxa" w:w="63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10+ years</w:t>
            </w:r>
          </w:p>
        </w:tc>
      </w:tr>
      <w:tr>
        <w:tc>
          <w:tcPr>
            <w:tcW w:type="dxa" w:w="30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Application tier</w:t>
            </w:r>
          </w:p>
        </w:tc>
        <w:tc>
          <w:tcPr>
            <w:tcW w:type="dxa" w:w="63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6 × EC2 c6i.16xlarge (384 vCPU total), observed at ~10% average CPU utilization per node</w:t>
            </w:r>
          </w:p>
        </w:tc>
      </w:tr>
      <w:tr>
        <w:tc>
          <w:tcPr>
            <w:tcW w:type="dxa" w:w="30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Database</w:t>
            </w:r>
          </w:p>
        </w:tc>
        <w:tc>
          <w:tcPr>
            <w:tcW w:type="dxa" w:w="63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Amazon Aurora PostgreSQL</w:t>
            </w:r>
          </w:p>
        </w:tc>
      </w:tr>
      <w:tr>
        <w:tc>
          <w:tcPr>
            <w:tcW w:type="dxa" w:w="30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Shared storage</w:t>
            </w:r>
          </w:p>
        </w:tc>
        <w:tc>
          <w:tcPr>
            <w:tcW w:type="dxa" w:w="63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Amazon EFS (attachments, index snapshots)</w:t>
            </w:r>
          </w:p>
        </w:tc>
      </w:tr>
      <w:tr>
        <w:tc>
          <w:tcPr>
            <w:tcW w:type="dxa" w:w="30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IaC</w:t>
            </w:r>
          </w:p>
        </w:tc>
        <w:tc>
          <w:tcPr>
            <w:tcW w:type="dxa" w:w="63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CloudFormation + cfn-init</w:t>
            </w:r>
          </w:p>
        </w:tc>
      </w:tr>
      <w:tr>
        <w:tc>
          <w:tcPr>
            <w:tcW w:type="dxa" w:w="30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DR posture</w:t>
            </w:r>
          </w:p>
        </w:tc>
        <w:tc>
          <w:tcPr>
            <w:tcW w:type="dxa" w:w="63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Cross-region: us-east-1 primary, us-east-2 DR; current RPO/RTO approximately 1–2 hours</w:t>
            </w:r>
          </w:p>
        </w:tc>
      </w:tr>
      <w:tr>
        <w:tc>
          <w:tcPr>
            <w:tcW w:type="dxa" w:w="30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Confirmed operational pain points</w:t>
            </w:r>
          </w:p>
        </w:tc>
        <w:tc>
          <w:tcPr>
            <w:tcW w:type="dxa" w:w="63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Slow page loads; memory-pressure-driven instability (Java/JVM runtime); multi-minute index synchronization delay on new node launch</w:t>
            </w:r>
          </w:p>
        </w:tc>
      </w:tr>
      <w:tr>
        <w:tc>
          <w:tcPr>
            <w:tcW w:type="dxa" w:w="30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Stability trend</w:t>
            </w:r>
          </w:p>
        </w:tc>
        <w:tc>
          <w:tcPr>
            <w:tcW w:type="dxa" w:w="63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Improved with recent Jira releases, but structural constraints (EFS-shared index, JVM memory profile) remain unresolved by version upgrades</w:t>
            </w:r>
          </w:p>
        </w:tc>
      </w:tr>
    </w:tbl>
    <w:p>
      <w:r>
        <w:br w:type="page"/>
      </w:r>
    </w:p>
    <w:p>
      <w:pPr>
        <w:pStyle w:val="Heading1"/>
        <w:pBdr>
          <w:bottom w:val="single" w:color="006044" w:sz="6" w:space="4"/>
        </w:pBdr>
        <w:spacing w:after="160" w:before="420"/>
      </w:pPr>
      <w:r>
        <w:rPr>
          <w:b/>
          <w:bCs/>
          <w:color w:val="006044"/>
          <w:sz w:val="30"/>
          <w:szCs w:val="30"/>
        </w:rPr>
        <w:t xml:space="preserve">4. Scope</w:t>
      </w:r>
    </w:p>
    <w:p>
      <w:pPr>
        <w:pStyle w:val="Heading2"/>
        <w:spacing w:after="120" w:before="280"/>
      </w:pPr>
      <w:r>
        <w:rPr>
          <w:b/>
          <w:bCs/>
          <w:color w:val="1C1917"/>
          <w:sz w:val="24"/>
          <w:szCs w:val="24"/>
        </w:rPr>
        <w:t xml:space="preserve">4.1 In Scope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Component</w:t>
            </w:r>
          </w:p>
        </w:tc>
        <w:tc>
          <w:tcPr>
            <w:tcW w:type="dxa" w:w="695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In Scope</w:t>
            </w:r>
          </w:p>
        </w:tc>
      </w:tr>
      <w:tr>
        <w:tc>
          <w:tcPr>
            <w:tcW w:type="dxa" w:w="24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Core work management</w:t>
            </w:r>
          </w:p>
        </w:tc>
        <w:tc>
          <w:tcPr>
            <w:tcW w:type="dxa" w:w="69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Jira Core + Jira Software equivalent: work items, custom fields, hierarchy, workflows, boards, backlog/sprints, search</w:t>
            </w:r>
          </w:p>
        </w:tc>
      </w:tr>
      <w:tr>
        <w:tc>
          <w:tcPr>
            <w:tcW w:type="dxa" w:w="24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Migration</w:t>
            </w:r>
          </w:p>
        </w:tc>
        <w:tc>
          <w:tcPr>
            <w:tcW w:type="dxa" w:w="69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Full-fidelity migration of all Jira DC data: issues, comments, history, worklogs, attachments, links, sprints, boards, project/issue keys, timestamps, authorship</w:t>
            </w:r>
          </w:p>
        </w:tc>
      </w:tr>
      <w:tr>
        <w:tc>
          <w:tcPr>
            <w:tcW w:type="dxa" w:w="24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Extensibility</w:t>
            </w:r>
          </w:p>
        </w:tc>
        <w:tc>
          <w:tcPr>
            <w:tcW w:type="dxa" w:w="69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Internal add-on marketplace + SDK, sandboxed execution runtime, permission-scoped add-ons</w:t>
            </w:r>
          </w:p>
        </w:tc>
      </w:tr>
      <w:tr>
        <w:tc>
          <w:tcPr>
            <w:tcW w:type="dxa" w:w="24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AI</w:t>
            </w:r>
          </w:p>
        </w:tc>
        <w:tc>
          <w:tcPr>
            <w:tcW w:type="dxa" w:w="69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Admin-governed AI (“Assist”) via Meridian Capital's internal GenAI gateway; full product functionality with AI fully disabled</w:t>
            </w:r>
          </w:p>
        </w:tc>
      </w:tr>
      <w:tr>
        <w:tc>
          <w:tcPr>
            <w:tcW w:type="dxa" w:w="24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Deployment</w:t>
            </w:r>
          </w:p>
        </w:tc>
        <w:tc>
          <w:tcPr>
            <w:tcW w:type="dxa" w:w="69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Single-tenant instance in Meridian Capital's own AWS account, on Amazon EKS</w:t>
            </w:r>
          </w:p>
        </w:tc>
      </w:tr>
      <w:tr>
        <w:tc>
          <w:tcPr>
            <w:tcW w:type="dxa" w:w="24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Reporting</w:t>
            </w:r>
          </w:p>
        </w:tc>
        <w:tc>
          <w:tcPr>
            <w:tcW w:type="dxa" w:w="69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In-app dashboards; governed BI/warehouse feed replacing any direct-database reporting access</w:t>
            </w:r>
          </w:p>
        </w:tc>
      </w:tr>
      <w:tr>
        <w:tc>
          <w:tcPr>
            <w:tcW w:type="dxa" w:w="24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Data protection</w:t>
            </w:r>
          </w:p>
        </w:tc>
        <w:tc>
          <w:tcPr>
            <w:tcW w:type="dxa" w:w="69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PII detection and blocking at content entry; flag-and-review workflow for pre-existing content</w:t>
            </w:r>
          </w:p>
        </w:tc>
      </w:tr>
    </w:tbl>
    <w:p>
      <w:pPr>
        <w:pStyle w:val="Heading2"/>
        <w:spacing w:after="120" w:before="280"/>
      </w:pPr>
      <w:r>
        <w:rPr>
          <w:b/>
          <w:bCs/>
          <w:color w:val="1C1917"/>
          <w:sz w:val="24"/>
          <w:szCs w:val="24"/>
        </w:rPr>
        <w:t xml:space="preserve">4.2 Explicitly Out of Scope (Phase 1) — “Anti-Requirements”</w:t>
      </w:r>
    </w:p>
    <w:p>
      <w:pPr>
        <w:spacing w:after="160" w:line="300"/>
      </w:pPr>
      <w:r>
        <w:rPr>
          <w:b w:val="false"/>
          <w:bCs w:val="false"/>
          <w:i w:val="false"/>
          <w:iCs w:val="false"/>
          <w:sz w:val="21"/>
          <w:szCs w:val="21"/>
        </w:rPr>
        <w:t xml:space="preserve">Stated as deliberately as the in-scope items above, because an unscoped boundary is the most common way a program of this size loses its deadline.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Excluded</w:t>
            </w:r>
          </w:p>
        </w:tc>
        <w:tc>
          <w:tcPr>
            <w:tcW w:type="dxa" w:w="575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Why</w:t>
            </w:r>
          </w:p>
        </w:tc>
      </w:tr>
      <w:tr>
        <w:tc>
          <w:tcPr>
            <w:tcW w:type="dxa" w:w="36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Jira Service Management / ITSM (service desks, SLA engine, customer portal, Assets/CMDB)</w:t>
            </w:r>
          </w:p>
        </w:tc>
        <w:tc>
          <w:tcPr>
            <w:tcW w:type="dxa" w:w="57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Confirmed out of scope by the Product Owner. Roughly doubles program size if included; no current business case for Phase 1.</w:t>
            </w:r>
          </w:p>
        </w:tc>
      </w:tr>
      <w:tr>
        <w:tc>
          <w:tcPr>
            <w:tcW w:type="dxa" w:w="36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Multi-tenant SaaS operation</w:t>
            </w:r>
          </w:p>
        </w:tc>
        <w:tc>
          <w:tcPr>
            <w:tcW w:type="dxa" w:w="57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Strand is a single-organization internal platform; multi-tenancy engineering is not undertaken. A cell-based sharding path is documented as a future option (§12) but not built.</w:t>
            </w:r>
          </w:p>
        </w:tc>
      </w:tr>
      <w:tr>
        <w:tc>
          <w:tcPr>
            <w:tcW w:type="dxa" w:w="36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Public / commercial add-on marketplace</w:t>
            </w:r>
          </w:p>
        </w:tc>
        <w:tc>
          <w:tcPr>
            <w:tcW w:type="dxa" w:w="57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The marketplace is internal-only, for Meridian Capital's own developers.</w:t>
            </w:r>
          </w:p>
        </w:tc>
      </w:tr>
      <w:tr>
        <w:tc>
          <w:tcPr>
            <w:tcW w:type="dxa" w:w="36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Cloud-exit portability engineering</w:t>
            </w:r>
          </w:p>
        </w:tc>
        <w:tc>
          <w:tcPr>
            <w:tcW w:type="dxa" w:w="57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AWS is a confirmed long-term platform; portability abstractions exist for testability and module discipline, not for vendor-exit insurance.</w:t>
            </w:r>
          </w:p>
        </w:tc>
      </w:tr>
      <w:tr>
        <w:tc>
          <w:tcPr>
            <w:tcW w:type="dxa" w:w="36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Self-hosted / air-gapped AI model inference</w:t>
            </w:r>
          </w:p>
        </w:tc>
        <w:tc>
          <w:tcPr>
            <w:tcW w:type="dxa" w:w="57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Meridian Capital's internal GenAI gateway is the sole AI provider for v1; no on-infrastructure model hosting is required.</w:t>
            </w:r>
          </w:p>
        </w:tc>
      </w:tr>
      <w:tr>
        <w:tc>
          <w:tcPr>
            <w:tcW w:type="dxa" w:w="36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Native mobile application</w:t>
            </w:r>
          </w:p>
        </w:tc>
        <w:tc>
          <w:tcPr>
            <w:tcW w:type="dxa" w:w="57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Responsive web only for Phase 1; see §12 for the native-app future path.</w:t>
            </w:r>
          </w:p>
        </w:tc>
      </w:tr>
    </w:tbl>
    <w:p>
      <w:r>
        <w:br w:type="page"/>
      </w:r>
    </w:p>
    <w:p>
      <w:pPr>
        <w:pStyle w:val="Heading1"/>
        <w:pBdr>
          <w:bottom w:val="single" w:color="006044" w:sz="6" w:space="4"/>
        </w:pBdr>
        <w:spacing w:after="160" w:before="420"/>
      </w:pPr>
      <w:r>
        <w:rPr>
          <w:b/>
          <w:bCs/>
          <w:color w:val="006044"/>
          <w:sz w:val="30"/>
          <w:szCs w:val="30"/>
        </w:rPr>
        <w:t xml:space="preserve">5. Architecture</w:t>
      </w:r>
    </w:p>
    <w:p>
      <w:pPr>
        <w:spacing w:after="160" w:line="300"/>
      </w:pPr>
      <w:r>
        <w:rPr>
          <w:b w:val="false"/>
          <w:bCs w:val="false"/>
          <w:i w:val="false"/>
          <w:iCs w:val="false"/>
          <w:sz w:val="21"/>
          <w:szCs w:val="21"/>
        </w:rPr>
        <w:t xml:space="preserve">This section states not only Strand's target architecture but the reasoning that selected it — evaluated against alternatives on named criteria, not chosen by convention or trend. The founding instruction for this program was explicit on this point: recommend technology because it is the best fit for the long-term product, never because it is popular.</w:t>
      </w:r>
    </w:p>
    <w:p>
      <w:pPr>
        <w:pStyle w:val="Heading2"/>
        <w:spacing w:after="120" w:before="280"/>
      </w:pPr>
      <w:r>
        <w:rPr>
          <w:b/>
          <w:bCs/>
          <w:color w:val="1C1917"/>
          <w:sz w:val="24"/>
          <w:szCs w:val="24"/>
        </w:rPr>
        <w:t xml:space="preserve">5.1 The Citadel Architecture</w:t>
      </w:r>
    </w:p>
    <w:p>
      <w:pPr>
        <w:spacing w:after="160" w:line="300"/>
      </w:pPr>
      <w:r>
        <w:rPr>
          <w:b w:val="false"/>
          <w:bCs w:val="false"/>
          <w:i w:val="false"/>
          <w:iCs w:val="false"/>
          <w:sz w:val="21"/>
          <w:szCs w:val="21"/>
        </w:rPr>
        <w:t xml:space="preserve">Strand uses a citadel architecture: a single, modular monolith core — internally divided into domain-driven bounded contexts with CI-enforced module boundaries — with a small number of deliberately extracted satellite services for workloads whose shape or security requirements genuinely diverge from the core.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Layer</w:t>
            </w:r>
          </w:p>
        </w:tc>
        <w:tc>
          <w:tcPr>
            <w:tcW w:type="dxa" w:w="675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Composition</w:t>
            </w:r>
          </w:p>
        </w:tc>
      </w:tr>
      <w:tr>
        <w:tc>
          <w:tcPr>
            <w:tcW w:type="dxa" w:w="26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Core (modular monolith)</w:t>
            </w:r>
          </w:p>
        </w:tc>
        <w:tc>
          <w:tcPr>
            <w:tcW w:type="dxa" w:w="67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Work items · workflow engine · access/authorization · collaboration · boards/read models · search API · automation management · reporting · admin/config · extensibility/SDK · PII guard · audit/records · AI platform module</w:t>
            </w:r>
          </w:p>
        </w:tc>
      </w:tr>
      <w:tr>
        <w:tc>
          <w:tcPr>
            <w:tcW w:type="dxa" w:w="26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Search Indexer satellite</w:t>
            </w:r>
          </w:p>
        </w:tc>
        <w:tc>
          <w:tcPr>
            <w:tcW w:type="dxa" w:w="67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Consumes the domain event log; maintains the search index; enables zero-downtime reindex and eliminates per-node index copying — directly resolving the confirmed index-sync pain point</w:t>
            </w:r>
          </w:p>
        </w:tc>
      </w:tr>
      <w:tr>
        <w:tc>
          <w:tcPr>
            <w:tcW w:type="dxa" w:w="26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Notification satellite</w:t>
            </w:r>
          </w:p>
        </w:tc>
        <w:tc>
          <w:tcPr>
            <w:tcW w:type="dxa" w:w="67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Bursty, latency-tolerant fan-out; grouped-by-item delivery with digest building</w:t>
            </w:r>
          </w:p>
        </w:tc>
      </w:tr>
      <w:tr>
        <w:tc>
          <w:tcPr>
            <w:tcW w:type="dxa" w:w="26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Automation sandbox satellite</w:t>
            </w:r>
          </w:p>
        </w:tc>
        <w:tc>
          <w:tcPr>
            <w:tcW w:type="dxa" w:w="67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Executes user-authored automation rules and scripts — the ScriptRunner-class replacement — in hard isolation with enforced resource and rate quotas. This is a security decision, not a performance one: untrusted user code must never run inside the core.</w:t>
            </w:r>
          </w:p>
        </w:tc>
      </w:tr>
      <w:tr>
        <w:tc>
          <w:tcPr>
            <w:tcW w:type="dxa" w:w="26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Attachment processor satellite</w:t>
            </w:r>
          </w:p>
        </w:tc>
        <w:tc>
          <w:tcPr>
            <w:tcW w:type="dxa" w:w="67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Malware scanning and preview generation; naturally serverless-eligible bursty workload</w:t>
            </w:r>
          </w:p>
        </w:tc>
      </w:tr>
    </w:tbl>
    <w:p>
      <w:pPr>
        <w:spacing w:after="80" w:before="200"/>
      </w:pPr>
      <w:r>
        <w:rPr>
          <w:b/>
          <w:bCs/>
          <w:color w:val="006044"/>
          <w:sz w:val="21"/>
          <w:szCs w:val="21"/>
        </w:rPr>
        <w:t xml:space="preserve">Why not microservices</w:t>
      </w:r>
    </w:p>
    <w:p>
      <w:pPr>
        <w:spacing w:after="160" w:line="300"/>
      </w:pPr>
      <w:r>
        <w:rPr>
          <w:b w:val="false"/>
          <w:bCs w:val="false"/>
          <w:i w:val="false"/>
          <w:iCs w:val="false"/>
          <w:sz w:val="21"/>
          <w:szCs w:val="21"/>
        </w:rPr>
        <w:t xml:space="preserve">Microservices were evaluated and scored last of the viable topology candidates. Microservices solve organizational scaling — Conway's Law for tens of engineering teams — and this program has one team of five senior engineers augmented by AI-assisted development, not fifty teams. Adopting microservices here would mean paying a distributed-systems tax (network-hop latency on the authorization hot path, cross-service transaction complexity on the audit-critical write path, and an operational surface no five-person team can carry) with no organizational problem to justify it. Recommending microservices for this program would have been exactly the trend-following the founding brief explicitly forbade.</w:t>
      </w:r>
    </w:p>
    <w:p>
      <w:pPr>
        <w:spacing w:after="80" w:before="200"/>
      </w:pPr>
      <w:r>
        <w:rPr>
          <w:b/>
          <w:bCs/>
          <w:color w:val="006044"/>
          <w:sz w:val="21"/>
          <w:szCs w:val="21"/>
        </w:rPr>
        <w:t xml:space="preserve">Why not a plain monolith</w:t>
      </w:r>
    </w:p>
    <w:p>
      <w:pPr>
        <w:spacing w:after="160" w:line="300"/>
      </w:pPr>
      <w:r>
        <w:rPr>
          <w:b w:val="false"/>
          <w:bCs w:val="false"/>
          <w:i w:val="false"/>
          <w:iCs w:val="false"/>
          <w:sz w:val="21"/>
          <w:szCs w:val="21"/>
        </w:rPr>
        <w:t xml:space="preserve">A conventional, undivided monolith was rejected for a different reason: boundary erosion is the default physics of a long-lived codebase. Twenty years of unstructured growth reliably becomes the next legacy hostage — arguably a description of parts of Jira DC itself. The modular monolith keeps the single-deployable operational simplicity while making entropy something the build tooling actively prevents (CI-enforced module boundaries), which is also what makes the codebase legible to AI-assisted development: an agent works against a defined module contract, not an undifferentiated codebase.</w:t>
      </w:r>
    </w:p>
    <w:p>
      <w:pPr>
        <w:spacing w:after="80" w:before="200"/>
      </w:pPr>
      <w:r>
        <w:rPr>
          <w:b/>
          <w:bCs/>
          <w:color w:val="006044"/>
          <w:sz w:val="21"/>
          <w:szCs w:val="21"/>
        </w:rPr>
        <w:t xml:space="preserve">Why not full event sourcing</w:t>
      </w:r>
    </w:p>
    <w:p>
      <w:pPr>
        <w:spacing w:after="160" w:line="300"/>
      </w:pPr>
      <w:r>
        <w:rPr>
          <w:b w:val="false"/>
          <w:bCs w:val="false"/>
          <w:i w:val="false"/>
          <w:iCs w:val="false"/>
          <w:sz w:val="21"/>
          <w:szCs w:val="21"/>
        </w:rPr>
        <w:t xml:space="preserve">Full event sourcing — where events, not current state, are the system of record — was rejected specifically because of this program's migration requirement. Ten years of relational Jira history would have to be transmuted into synthetic, fabricated event streams to populate an event-sourced store — manufactured evidence inside an audit-regulated migration, which is precisely the kind of artifact an auditor distrusts rather than welcomes. Strand instead uses a relational system of record (Aurora PostgreSQL) that emits an immutable, hash-chained domain event log via the transactional outbox pattern — delivering event sourcing's auditability benefits at a fraction of its migration and operational risk.</w:t>
      </w:r>
    </w:p>
    <w:p>
      <w:pPr>
        <w:pStyle w:val="Heading2"/>
        <w:spacing w:after="120" w:before="280"/>
      </w:pPr>
      <w:r>
        <w:rPr>
          <w:b/>
          <w:bCs/>
          <w:color w:val="1C1917"/>
          <w:sz w:val="24"/>
          <w:szCs w:val="24"/>
        </w:rPr>
        <w:t xml:space="preserve">5.2 Data Architecture</w:t>
      </w:r>
    </w:p>
    <w:p>
      <w:pPr>
        <w:spacing w:after="160" w:line="300"/>
      </w:pPr>
      <w:r>
        <w:rPr>
          <w:b w:val="false"/>
          <w:bCs w:val="false"/>
          <w:i w:val="false"/>
          <w:iCs w:val="false"/>
          <w:sz w:val="21"/>
          <w:szCs w:val="21"/>
        </w:rPr>
        <w:t xml:space="preserve">Aurora PostgreSQL holds current state. Every mutation writes business state and a domain event to an outbox table within the same database transaction — no mutation can occur without a corresponding, guaranteed audit event. Debezium publishes the outbox via change-data-capture into an immutable, ordered, hash-chained event log on Amazon MSK (Kafka). That single log is the backbone feeding search indexing, notification triggers, automation execution, outbound webhooks, the governed BI/warehouse feed, AI context retrieval, and a tamper-evident, retention-governed audit tier on S3 Object Lock (WORM).</w:t>
      </w:r>
    </w:p>
    <w:p>
      <w:pPr>
        <w:spacing w:after="160" w:line="300"/>
      </w:pPr>
      <w:r>
        <w:rPr>
          <w:b w:val="false"/>
          <w:bCs w:val="false"/>
          <w:i w:val="false"/>
          <w:iCs w:val="false"/>
          <w:sz w:val="21"/>
          <w:szCs w:val="21"/>
        </w:rPr>
        <w:t xml:space="preserve">Personal data is tokenized before it ever enters an event: raw PII lives only in an isolated, erasable vault. This resolves an otherwise direct conflict between an immutable audit chain and data-erasure obligations — erasure is executed by crypto-shredding the vault mapping, which leaves the hash chain's integrity untouched.</w:t>
      </w:r>
    </w:p>
    <w:p>
      <w:pPr>
        <w:pStyle w:val="Heading2"/>
        <w:spacing w:after="120" w:before="280"/>
      </w:pPr>
      <w:r>
        <w:rPr>
          <w:b/>
          <w:bCs/>
          <w:color w:val="1C1917"/>
          <w:sz w:val="24"/>
          <w:szCs w:val="24"/>
        </w:rPr>
        <w:t xml:space="preserve">5.3 Technology Choices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4900"/>
        <w:gridCol w:w="2550"/>
      </w:tblGrid>
      <w:tr>
        <w:trPr>
          <w:tblHeader/>
        </w:trPr>
        <w:tc>
          <w:tcPr>
            <w:tcW w:type="dxa" w:w="190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Layer</w:t>
            </w:r>
          </w:p>
        </w:tc>
        <w:tc>
          <w:tcPr>
            <w:tcW w:type="dxa" w:w="490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Choice</w:t>
            </w:r>
          </w:p>
        </w:tc>
        <w:tc>
          <w:tcPr>
            <w:tcW w:type="dxa" w:w="255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Status</w:t>
            </w:r>
          </w:p>
        </w:tc>
      </w:tr>
      <w:tr>
        <w:tc>
          <w:tcPr>
            <w:tcW w:type="dxa" w:w="19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Compute</w:t>
            </w:r>
          </w:p>
        </w:tc>
        <w:tc>
          <w:tcPr>
            <w:tcW w:type="dxa" w:w="49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AWS EKS (Kubernetes)</w:t>
            </w:r>
          </w:p>
        </w:tc>
        <w:tc>
          <w:tcPr>
            <w:tcW w:type="dxa" w:w="25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Confirmed</w:t>
            </w:r>
          </w:p>
        </w:tc>
      </w:tr>
      <w:tr>
        <w:tc>
          <w:tcPr>
            <w:tcW w:type="dxa" w:w="19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System of record</w:t>
            </w:r>
          </w:p>
        </w:tc>
        <w:tc>
          <w:tcPr>
            <w:tcW w:type="dxa" w:w="49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Aurora PostgreSQL, partitioned, outbox pattern</w:t>
            </w:r>
          </w:p>
        </w:tc>
        <w:tc>
          <w:tcPr>
            <w:tcW w:type="dxa" w:w="25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Leading candidate</w:t>
            </w:r>
          </w:p>
        </w:tc>
      </w:tr>
      <w:tr>
        <w:tc>
          <w:tcPr>
            <w:tcW w:type="dxa" w:w="19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Event backbone</w:t>
            </w:r>
          </w:p>
        </w:tc>
        <w:tc>
          <w:tcPr>
            <w:tcW w:type="dxa" w:w="49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Kafka via Amazon MSK + Debezium CDC</w:t>
            </w:r>
          </w:p>
        </w:tc>
        <w:tc>
          <w:tcPr>
            <w:tcW w:type="dxa" w:w="25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Leading candidate</w:t>
            </w:r>
          </w:p>
        </w:tc>
      </w:tr>
      <w:tr>
        <w:tc>
          <w:tcPr>
            <w:tcW w:type="dxa" w:w="19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Search</w:t>
            </w:r>
          </w:p>
        </w:tc>
        <w:tc>
          <w:tcPr>
            <w:tcW w:type="dxa" w:w="49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OpenSearch</w:t>
            </w:r>
          </w:p>
        </w:tc>
        <w:tc>
          <w:tcPr>
            <w:tcW w:type="dxa" w:w="25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Leading candidate</w:t>
            </w:r>
          </w:p>
        </w:tc>
      </w:tr>
      <w:tr>
        <w:tc>
          <w:tcPr>
            <w:tcW w:type="dxa" w:w="19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Cache</w:t>
            </w:r>
          </w:p>
        </w:tc>
        <w:tc>
          <w:tcPr>
            <w:tcW w:type="dxa" w:w="49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Amazon ElastiCache</w:t>
            </w:r>
          </w:p>
        </w:tc>
        <w:tc>
          <w:tcPr>
            <w:tcW w:type="dxa" w:w="25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Leading candidate</w:t>
            </w:r>
          </w:p>
        </w:tc>
      </w:tr>
      <w:tr>
        <w:tc>
          <w:tcPr>
            <w:tcW w:type="dxa" w:w="19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Files</w:t>
            </w:r>
          </w:p>
        </w:tc>
        <w:tc>
          <w:tcPr>
            <w:tcW w:type="dxa" w:w="49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Amazon S3; S3 Object Lock for the audit tier</w:t>
            </w:r>
          </w:p>
        </w:tc>
        <w:tc>
          <w:tcPr>
            <w:tcW w:type="dxa" w:w="25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Leading candidate</w:t>
            </w:r>
          </w:p>
        </w:tc>
      </w:tr>
      <w:tr>
        <w:tc>
          <w:tcPr>
            <w:tcW w:type="dxa" w:w="19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Backend language/runtime</w:t>
            </w:r>
          </w:p>
        </w:tc>
        <w:tc>
          <w:tcPr>
            <w:tcW w:type="dxa" w:w="49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Evaluated by benchmark bake-off (Go vs. Kotlin/JVM vs. TypeScript) with memory efficiency as a scored criterion — directly targeting the confirmed JVM memory-pressure pain point</w:t>
            </w:r>
          </w:p>
        </w:tc>
        <w:tc>
          <w:tcPr>
            <w:tcW w:type="dxa" w:w="25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Open</w:t>
            </w:r>
          </w:p>
        </w:tc>
      </w:tr>
      <w:tr>
        <w:tc>
          <w:tcPr>
            <w:tcW w:type="dxa" w:w="19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Frontend</w:t>
            </w:r>
          </w:p>
        </w:tc>
        <w:tc>
          <w:tcPr>
            <w:tcW w:type="dxa" w:w="49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React + TypeScript, an in-house design system; client sync-engine model under evaluation</w:t>
            </w:r>
          </w:p>
        </w:tc>
        <w:tc>
          <w:tcPr>
            <w:tcW w:type="dxa" w:w="25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Partially open</w:t>
            </w:r>
          </w:p>
        </w:tc>
      </w:tr>
      <w:tr>
        <w:tc>
          <w:tcPr>
            <w:tcW w:type="dxa" w:w="19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API</w:t>
            </w:r>
          </w:p>
        </w:tc>
        <w:tc>
          <w:tcPr>
            <w:tcW w:type="dxa" w:w="49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REST-first, with a Jira-compatible subset for existing integrations</w:t>
            </w:r>
          </w:p>
        </w:tc>
        <w:tc>
          <w:tcPr>
            <w:tcW w:type="dxa" w:w="25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Open</w:t>
            </w:r>
          </w:p>
        </w:tc>
      </w:tr>
      <w:tr>
        <w:tc>
          <w:tcPr>
            <w:tcW w:type="dxa" w:w="19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Identity</w:t>
            </w:r>
          </w:p>
        </w:tc>
        <w:tc>
          <w:tcPr>
            <w:tcW w:type="dxa" w:w="49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SAML/OIDC SSO to Meridian Capital's IdP; SCIM provisioning at 100,000-directory-user scale</w:t>
            </w:r>
          </w:p>
        </w:tc>
        <w:tc>
          <w:tcPr>
            <w:tcW w:type="dxa" w:w="25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Pattern confirmed</w:t>
            </w:r>
          </w:p>
        </w:tc>
      </w:tr>
      <w:tr>
        <w:tc>
          <w:tcPr>
            <w:tcW w:type="dxa" w:w="19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AI</w:t>
            </w:r>
          </w:p>
        </w:tc>
        <w:tc>
          <w:tcPr>
            <w:tcW w:type="dxa" w:w="49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Adapter to Meridian Capital's internal GenAI gateway (org-approved models)</w:t>
            </w:r>
          </w:p>
        </w:tc>
        <w:tc>
          <w:tcPr>
            <w:tcW w:type="dxa" w:w="25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Confirmed</w:t>
            </w:r>
          </w:p>
        </w:tc>
      </w:tr>
    </w:tbl>
    <w:p>
      <w:pPr>
        <w:spacing w:after="160" w:line="300"/>
      </w:pPr>
      <w:r>
        <w:rPr>
          <w:b w:val="false"/>
          <w:bCs w:val="false"/>
          <w:i w:val="false"/>
          <w:iCs w:val="false"/>
          <w:sz w:val="21"/>
          <w:szCs w:val="21"/>
        </w:rPr>
        <w:t xml:space="preserve">Final selection of open items is gated by six mandatory validation spikes, each scoped to one week or less: permission-check performance at 25,000 simulated concurrent users; outbox-to-event-log throughput at projected mutation rate; a board read-model benchmark over a synthetic 100-million-issue dataset; zero-downtime reindex time from the event log; a permission-filtered client-sync feasibility proof; and a module-boundary CI enforcement toolchain proof. No Tier-0 architecture decision is accepted without spike evidence.</w:t>
      </w:r>
    </w:p>
    <w:p>
      <w:pPr>
        <w:pStyle w:val="Heading2"/>
        <w:spacing w:after="120" w:before="280"/>
      </w:pPr>
      <w:r>
        <w:rPr>
          <w:b/>
          <w:bCs/>
          <w:color w:val="1C1917"/>
          <w:sz w:val="24"/>
          <w:szCs w:val="24"/>
        </w:rPr>
        <w:t xml:space="preserve">5.4 Client Architecture — the Speed Requirement</w:t>
      </w:r>
    </w:p>
    <w:p>
      <w:pPr>
        <w:spacing w:after="160" w:line="300"/>
      </w:pPr>
      <w:r>
        <w:rPr>
          <w:b w:val="false"/>
          <w:bCs w:val="false"/>
          <w:i w:val="false"/>
          <w:iCs w:val="false"/>
          <w:sz w:val="21"/>
          <w:szCs w:val="21"/>
        </w:rPr>
        <w:t xml:space="preserve">“The speed of Linear” is a client-architecture property, not a backend one: Linear's perceived speed comes from a client-side sync engine holding a local working set with optimistic mutations and server reconciliation. This creates a genuine tension at Strand's scale that Linear itself has not had to solve: permission-filtered replication — a client's local cache must never receive rows the user is not authorized to see, and a permission change must retract data already synced to thousands of live clients. This is treated as a Tier-0 decision (not a UI polish item) precisely because it sits directly on top of the authorization system, and is one of the six mandatory validation spikes above.</w:t>
      </w:r>
    </w:p>
    <w:p>
      <w:r>
        <w:br w:type="page"/>
      </w:r>
    </w:p>
    <w:p>
      <w:pPr>
        <w:pStyle w:val="Heading1"/>
        <w:pBdr>
          <w:bottom w:val="single" w:color="006044" w:sz="6" w:space="4"/>
        </w:pBdr>
        <w:spacing w:after="160" w:before="420"/>
      </w:pPr>
      <w:r>
        <w:rPr>
          <w:b/>
          <w:bCs/>
          <w:color w:val="006044"/>
          <w:sz w:val="30"/>
          <w:szCs w:val="30"/>
        </w:rPr>
        <w:t xml:space="preserve">6. Migration</w:t>
      </w:r>
    </w:p>
    <w:p>
      <w:pPr>
        <w:pStyle w:val="Heading2"/>
        <w:spacing w:after="120" w:before="280"/>
      </w:pPr>
      <w:r>
        <w:rPr>
          <w:b/>
          <w:bCs/>
          <w:color w:val="1C1917"/>
          <w:sz w:val="24"/>
          <w:szCs w:val="24"/>
        </w:rPr>
        <w:t xml:space="preserve">6.1 Fidelity Model</w:t>
      </w:r>
    </w:p>
    <w:p>
      <w:pPr>
        <w:spacing w:after="160" w:line="300"/>
      </w:pPr>
      <w:r>
        <w:rPr>
          <w:b w:val="false"/>
          <w:bCs w:val="false"/>
          <w:i w:val="false"/>
          <w:iCs w:val="false"/>
          <w:sz w:val="21"/>
          <w:szCs w:val="21"/>
        </w:rPr>
        <w:t xml:space="preserve">Migration requirements are split into two fidelity classes, and the distinction is load-bearing for the rest of this document.</w:t>
      </w:r>
    </w:p>
    <w:p>
      <w:pPr>
        <w:spacing w:after="80" w:before="200"/>
      </w:pPr>
      <w:r>
        <w:rPr>
          <w:b/>
          <w:bCs/>
          <w:color w:val="006044"/>
          <w:sz w:val="21"/>
          <w:szCs w:val="21"/>
        </w:rPr>
        <w:t xml:space="preserve">Class A — Data: absolute fidelity</w:t>
      </w:r>
    </w:p>
    <w:p>
      <w:pPr>
        <w:spacing w:after="160" w:line="300"/>
      </w:pPr>
      <w:r>
        <w:rPr>
          <w:b w:val="false"/>
          <w:bCs w:val="false"/>
          <w:i w:val="false"/>
          <w:iCs w:val="false"/>
          <w:sz w:val="21"/>
          <w:szCs w:val="21"/>
        </w:rPr>
        <w:t xml:space="preserve">Issues, comments, full history, worklogs, attachments, links, sprints, boards, project and issue keys, timestamps, and authorship migrate exactly, with byte-level reconciliation. Legacy Jira DC URLs redirect permanently to their Strand equivalents post-migration — external systems across the organization embed thousands of Jira links that must not break.</w:t>
      </w:r>
    </w:p>
    <w:p>
      <w:pPr>
        <w:spacing w:after="80" w:before="200"/>
      </w:pPr>
      <w:r>
        <w:rPr>
          <w:b/>
          <w:bCs/>
          <w:color w:val="006044"/>
          <w:sz w:val="21"/>
          <w:szCs w:val="21"/>
        </w:rPr>
        <w:t xml:space="preserve">Class B — Configuration: semantic fidelity (recommended)</w:t>
      </w:r>
    </w:p>
    <w:p>
      <w:pPr>
        <w:spacing w:after="160" w:line="300"/>
      </w:pPr>
      <w:r>
        <w:rPr>
          <w:b w:val="false"/>
          <w:bCs w:val="false"/>
          <w:i w:val="false"/>
          <w:iCs w:val="false"/>
          <w:sz w:val="21"/>
          <w:szCs w:val="21"/>
        </w:rPr>
        <w:t xml:space="preserve">Workflows, fields, screens, and permissions migrate by MEANING into Strand's model — with automated equivalence verification (same statuses reachable, same transitions permitted, same fields captured, same people authorized) and per-project sign-off — rather than being cloned structurally from Jira's scheme architecture. Structural cloning would force Strand's data model to reproduce the combinatorial workflow-scheme, screen-scheme, and permission-scheme sprawl that this program exists to escape, freezing that complexity into the new platform on day one.</w:t>
      </w:r>
    </w:p>
    <w:p>
      <w:pPr>
        <w:pBdr>
          <w:left w:val="single" w:color="76A923" w:sz="24" w:space="8"/>
        </w:pBdr>
        <w:shd w:fill="F2F1EF" w:val="clear"/>
        <w:spacing w:after="200" w:before="120"/>
        <w:ind w:left="200"/>
      </w:pPr>
      <w:r>
        <w:rPr>
          <w:i/>
          <w:iCs/>
          <w:color w:val="1C1917"/>
          <w:sz w:val="20"/>
          <w:szCs w:val="20"/>
        </w:rPr>
        <w:t xml:space="preserve">This is the one item in this PRD requiring an explicit Product Owner decision before the core data model is finalized. If literal configuration cloning is required instead, the data model (ADR-001) and workflow engine design (ADR-018) must be redrawn around Jira's scheme model — a materially different and more expensive architecture, which should be chosen knowingly rather than by default.</w:t>
      </w:r>
    </w:p>
    <w:p>
      <w:pPr>
        <w:pStyle w:val="Heading2"/>
        <w:spacing w:after="120" w:before="280"/>
      </w:pPr>
      <w:r>
        <w:rPr>
          <w:b/>
          <w:bCs/>
          <w:color w:val="1C1917"/>
          <w:sz w:val="24"/>
          <w:szCs w:val="24"/>
        </w:rPr>
        <w:t xml:space="preserve">6.2 Migration Mechanics</w:t>
      </w:r>
    </w:p>
    <w:p>
      <w:pPr>
        <w:pStyle w:val="ListParagraph"/>
        <w:numPr>
          <w:ilvl w:val="0"/>
          <w:numId w:val="1"/>
        </w:numPr>
        <w:spacing w:after="70"/>
      </w:pPr>
      <w:r>
        <w:rPr>
          <w:sz w:val="21"/>
          <w:szCs w:val="21"/>
        </w:rPr>
        <w:t xml:space="preserve">Migration executes in independently reconciled waves, not as a single cutover event.</w:t>
      </w:r>
    </w:p>
    <w:p>
      <w:pPr>
        <w:pStyle w:val="ListParagraph"/>
        <w:numPr>
          <w:ilvl w:val="0"/>
          <w:numId w:val="1"/>
        </w:numPr>
        <w:spacing w:after="70"/>
      </w:pPr>
      <w:r>
        <w:rPr>
          <w:sz w:val="21"/>
          <w:szCs w:val="21"/>
        </w:rPr>
        <w:t xml:space="preserve">Each wave is reconciled by record counts, checksums, and sampled deep comparison, with evidence retained for audit sign-off.</w:t>
      </w:r>
    </w:p>
    <w:p>
      <w:pPr>
        <w:pStyle w:val="ListParagraph"/>
        <w:numPr>
          <w:ilvl w:val="0"/>
          <w:numId w:val="1"/>
        </w:numPr>
        <w:spacing w:after="70"/>
      </w:pPr>
      <w:r>
        <w:rPr>
          <w:sz w:val="21"/>
          <w:szCs w:val="21"/>
        </w:rPr>
        <w:t xml:space="preserve">A parallel-run period precedes final cutover; two full cutover rehearsals (with rehearsed rollback) are required before production go-live.</w:t>
      </w:r>
    </w:p>
    <w:p>
      <w:pPr>
        <w:pStyle w:val="ListParagraph"/>
        <w:numPr>
          <w:ilvl w:val="0"/>
          <w:numId w:val="1"/>
        </w:numPr>
        <w:spacing w:after="70"/>
      </w:pPr>
      <w:r>
        <w:rPr>
          <w:sz w:val="21"/>
          <w:szCs w:val="21"/>
        </w:rPr>
        <w:t xml:space="preserve">The legacy Jira DC instance remains read-only and reachable (via redirect) until formal decommission, well inside Atlassian's March 2029 boundary.</w:t>
      </w:r>
    </w:p>
    <w:p>
      <w:pPr>
        <w:pStyle w:val="Heading2"/>
        <w:spacing w:after="120" w:before="280"/>
      </w:pPr>
      <w:r>
        <w:rPr>
          <w:b/>
          <w:bCs/>
          <w:color w:val="1C1917"/>
          <w:sz w:val="24"/>
          <w:szCs w:val="24"/>
        </w:rPr>
        <w:t xml:space="preserve">6.3 Timeline</w:t>
      </w:r>
    </w:p>
    <w:p>
      <w:pPr>
        <w:spacing w:after="160" w:line="300"/>
      </w:pPr>
      <w:r>
        <w:rPr>
          <w:b w:val="false"/>
          <w:bCs w:val="false"/>
          <w:i w:val="false"/>
          <w:iCs w:val="false"/>
          <w:sz w:val="21"/>
          <w:szCs w:val="21"/>
        </w:rPr>
        <w:t xml:space="preserve">The effective program deadline is Q2–Q3 2028 — not the March 2029 headline date — to allow for a full parallel-run and audit buffer before Jira DC becomes read-only. This gives approximately 24 months of effective build time from program start.</w:t>
      </w:r>
    </w:p>
    <w:p>
      <w:r>
        <w:br w:type="page"/>
      </w:r>
    </w:p>
    <w:p>
      <w:pPr>
        <w:pStyle w:val="Heading1"/>
        <w:pBdr>
          <w:bottom w:val="single" w:color="006044" w:sz="6" w:space="4"/>
        </w:pBdr>
        <w:spacing w:after="160" w:before="420"/>
      </w:pPr>
      <w:r>
        <w:rPr>
          <w:b/>
          <w:bCs/>
          <w:color w:val="006044"/>
          <w:sz w:val="30"/>
          <w:szCs w:val="30"/>
        </w:rPr>
        <w:t xml:space="preserve">7. AI Governance — the “Assist” Platform</w:t>
      </w:r>
    </w:p>
    <w:p>
      <w:pPr>
        <w:spacing w:after="160" w:line="300"/>
      </w:pPr>
      <w:r>
        <w:rPr>
          <w:b w:val="false"/>
          <w:bCs w:val="false"/>
          <w:i w:val="false"/>
          <w:iCs w:val="false"/>
          <w:sz w:val="21"/>
          <w:szCs w:val="21"/>
        </w:rPr>
        <w:t xml:space="preserve">AI is designed as a governed enterprise capability, not a bolt-on feature. This section is deliberately given equal weight to the core architecture because, at a financial enterprise, the AI governance model carries direct regulatory exposure. The following ten rules are Tier-0 program invariants, enforced at build gates, not aspirations.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8850"/>
      </w:tblGrid>
      <w:tr>
        <w:trPr>
          <w:tblHeader/>
        </w:trPr>
        <w:tc>
          <w:tcPr>
            <w:tcW w:type="dxa" w:w="50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w:t>
            </w:r>
          </w:p>
        </w:tc>
        <w:tc>
          <w:tcPr>
            <w:tcW w:type="dxa" w:w="885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Rule</w:t>
            </w:r>
          </w:p>
        </w:tc>
      </w:tr>
      <w:tr>
        <w:tc>
          <w:tcPr>
            <w:tcW w:type="dxa" w:w="5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1</w:t>
            </w:r>
          </w:p>
        </w:tc>
        <w:tc>
          <w:tcPr>
            <w:tcW w:type="dxa" w:w="88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Parity: every AI capability ships with a corresponding fully functional non-AI workflow. A feature whose only path is AI fails Definition of Done.</w:t>
            </w:r>
          </w:p>
        </w:tc>
      </w:tr>
      <w:tr>
        <w:tc>
          <w:tcPr>
            <w:tcW w:type="dxa" w:w="5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2</w:t>
            </w:r>
          </w:p>
        </w:tc>
        <w:tc>
          <w:tcPr>
            <w:tcW w:type="dxa" w:w="88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Kill-switch hierarchy: AI is enabled or disabled ONLY by an administrator — at global, team, or feature scope. There is no end-user AI toggle anywhere in the product.</w:t>
            </w:r>
          </w:p>
        </w:tc>
      </w:tr>
      <w:tr>
        <w:tc>
          <w:tcPr>
            <w:tcW w:type="dxa" w:w="5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3</w:t>
            </w:r>
          </w:p>
        </w:tc>
        <w:tc>
          <w:tcPr>
            <w:tcW w:type="dxa" w:w="88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Graceful degradation: if the AI provider is unavailable, the affected feature degrades silently to its non-AI path. An AI outage must never present as a product outage.</w:t>
            </w:r>
          </w:p>
        </w:tc>
      </w:tr>
      <w:tr>
        <w:tc>
          <w:tcPr>
            <w:tcW w:type="dxa" w:w="5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4</w:t>
            </w:r>
          </w:p>
        </w:tc>
        <w:tc>
          <w:tcPr>
            <w:tcW w:type="dxa" w:w="88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Modularity: AI lives in its own bounded context, consuming the rest of the product only through the same extension points available to any other module — the domain event log and internal APIs. No AI dependency is embedded inside core domain logic.</w:t>
            </w:r>
          </w:p>
        </w:tc>
      </w:tr>
      <w:tr>
        <w:tc>
          <w:tcPr>
            <w:tcW w:type="dxa" w:w="5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5</w:t>
            </w:r>
          </w:p>
        </w:tc>
        <w:tc>
          <w:tcPr>
            <w:tcW w:type="dxa" w:w="88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Provider abstraction: AI is accessed through a pluggable hexagonal port (Meridian Capital's internal GenAI gateway for v1). No provider-specific type leaks past the adapter.</w:t>
            </w:r>
          </w:p>
        </w:tc>
      </w:tr>
      <w:tr>
        <w:tc>
          <w:tcPr>
            <w:tcW w:type="dxa" w:w="5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6</w:t>
            </w:r>
          </w:p>
        </w:tc>
        <w:tc>
          <w:tcPr>
            <w:tcW w:type="dxa" w:w="88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Permission-bound retrieval: AI context retrieval enforces the identical authorization decision as the requesting user's own reads, evaluated at retrieval time. An AI answer must never surface information the asking user could not have queried directly.</w:t>
            </w:r>
          </w:p>
        </w:tc>
      </w:tr>
      <w:tr>
        <w:tc>
          <w:tcPr>
            <w:tcW w:type="dxa" w:w="5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7</w:t>
            </w:r>
          </w:p>
        </w:tc>
        <w:tc>
          <w:tcPr>
            <w:tcW w:type="dxa" w:w="88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Full audit: every AI interaction — prompt context reference, model identity and version, output, and human accept/reject decision — is recorded on the same hash-chained audit log as every other platform event. AI-initiated actions are attributed as “AI on behalf of &lt;user/policy&gt;,” never as a human actor.</w:t>
            </w:r>
          </w:p>
        </w:tc>
      </w:tr>
      <w:tr>
        <w:tc>
          <w:tcPr>
            <w:tcW w:type="dxa" w:w="5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8</w:t>
            </w:r>
          </w:p>
        </w:tc>
        <w:tc>
          <w:tcPr>
            <w:tcW w:type="dxa" w:w="88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Human agency: AI proposes; state changes require explicit human confirmation, or execute only under the same governed automation policy as any other automation. AI has no privileged write path.</w:t>
            </w:r>
          </w:p>
        </w:tc>
      </w:tr>
      <w:tr>
        <w:tc>
          <w:tcPr>
            <w:tcW w:type="dxa" w:w="5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9</w:t>
            </w:r>
          </w:p>
        </w:tc>
        <w:tc>
          <w:tcPr>
            <w:tcW w:type="dxa" w:w="88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Enterprise governance: per-capability enablement policy, data-egress policy by content class, quality/drift monitoring, and model change-management records consistent with financial-sector model-risk expectations.</w:t>
            </w:r>
          </w:p>
        </w:tc>
      </w:tr>
      <w:tr>
        <w:tc>
          <w:tcPr>
            <w:tcW w:type="dxa" w:w="5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10</w:t>
            </w:r>
          </w:p>
        </w:tc>
        <w:tc>
          <w:tcPr>
            <w:tcW w:type="dxa" w:w="88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Cost governance: per-team, per-capability inference budgets and usage metering from day one — AI features expose their unit economics rather than producing surprise cost.</w:t>
            </w:r>
          </w:p>
        </w:tc>
      </w:tr>
    </w:tbl>
    <w:p>
      <w:pPr>
        <w:pStyle w:val="Heading2"/>
        <w:spacing w:after="120" w:before="280"/>
      </w:pPr>
      <w:r>
        <w:rPr>
          <w:b/>
          <w:bCs/>
          <w:color w:val="1C1917"/>
          <w:sz w:val="24"/>
          <w:szCs w:val="24"/>
        </w:rPr>
        <w:t xml:space="preserve">7.1 Why This Architecture Makes AI Governance Cheap</w:t>
      </w:r>
    </w:p>
    <w:p>
      <w:pPr>
        <w:spacing w:after="160" w:line="300"/>
      </w:pPr>
      <w:r>
        <w:rPr>
          <w:b w:val="false"/>
          <w:bCs w:val="false"/>
          <w:i w:val="false"/>
          <w:iCs w:val="false"/>
          <w:sz w:val="21"/>
          <w:szCs w:val="21"/>
        </w:rPr>
        <w:t xml:space="preserve">The citadel architecture and event-log data spine (§5) already provide every seam this governance model needs: the domain event log is the natural AI context and trigger bus; the hexagonal provider port gives model-vendor pluggability without touching core logic; the automation-sandbox isolation pattern extends directly to AI-initiated actions; and the single authorization choke point (§5.1) is the one gate all AI retrieval must pass through. Had a different architecture been chosen — microservices with distributed authorization, or a CRUD system without an event spine — this governance model would have required substantial additional engineering. That it does not is treated as validating evidence for the architecture choice itself.</w:t>
      </w:r>
    </w:p>
    <w:p>
      <w:r>
        <w:br w:type="page"/>
      </w:r>
    </w:p>
    <w:p>
      <w:pPr>
        <w:pStyle w:val="Heading1"/>
        <w:pBdr>
          <w:bottom w:val="single" w:color="006044" w:sz="6" w:space="4"/>
        </w:pBdr>
        <w:spacing w:after="160" w:before="420"/>
      </w:pPr>
      <w:r>
        <w:rPr>
          <w:b/>
          <w:bCs/>
          <w:color w:val="006044"/>
          <w:sz w:val="30"/>
          <w:szCs w:val="30"/>
        </w:rPr>
        <w:t xml:space="preserve">8. Functional Requirements</w:t>
      </w:r>
    </w:p>
    <w:p>
      <w:pPr>
        <w:pStyle w:val="Heading2"/>
        <w:spacing w:after="120" w:before="280"/>
      </w:pPr>
      <w:r>
        <w:rPr>
          <w:b/>
          <w:bCs/>
          <w:color w:val="1C1917"/>
          <w:sz w:val="24"/>
          <w:szCs w:val="24"/>
        </w:rPr>
        <w:t xml:space="preserve">8.1 Work Items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7950"/>
      </w:tblGrid>
      <w:tr>
        <w:trPr>
          <w:tblHeader/>
        </w:trPr>
        <w:tc>
          <w:tcPr>
            <w:tcW w:type="dxa" w:w="140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ID</w:t>
            </w:r>
          </w:p>
        </w:tc>
        <w:tc>
          <w:tcPr>
            <w:tcW w:type="dxa" w:w="795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Requirement</w:t>
            </w:r>
          </w:p>
        </w:tc>
      </w:tr>
      <w:tr>
        <w:tc>
          <w:tcPr>
            <w:tcW w:type="dxa" w:w="14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FR-W01</w:t>
            </w:r>
          </w:p>
        </w:tc>
        <w:tc>
          <w:tcPr>
            <w:tcW w:type="dxa" w:w="79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Users can create a work item choosing type (story/task/bug/sub-task), project, and required fields.</w:t>
            </w:r>
          </w:p>
        </w:tc>
      </w:tr>
      <w:tr>
        <w:tc>
          <w:tcPr>
            <w:tcW w:type="dxa" w:w="14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FR-W02</w:t>
            </w:r>
          </w:p>
        </w:tc>
        <w:tc>
          <w:tcPr>
            <w:tcW w:type="dxa" w:w="79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The work item detail view supports inline editing of the title, description, and all sidebar fields without a page reload.</w:t>
            </w:r>
          </w:p>
        </w:tc>
      </w:tr>
      <w:tr>
        <w:tc>
          <w:tcPr>
            <w:tcW w:type="dxa" w:w="14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FR-W03</w:t>
            </w:r>
          </w:p>
        </w:tc>
        <w:tc>
          <w:tcPr>
            <w:tcW w:type="dxa" w:w="79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Sub-tasks are first-class linked entities with independent status and assignee, shown with an aggregate progress indicator — never rendered as checklist text inside a description.</w:t>
            </w:r>
          </w:p>
        </w:tc>
      </w:tr>
      <w:tr>
        <w:tc>
          <w:tcPr>
            <w:tcW w:type="dxa" w:w="14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FR-W04</w:t>
            </w:r>
          </w:p>
        </w:tc>
        <w:tc>
          <w:tcPr>
            <w:tcW w:type="dxa" w:w="79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Work items support typed links to other items (Blocks / Relates to / Blocked by) with live status visibility.</w:t>
            </w:r>
          </w:p>
        </w:tc>
      </w:tr>
      <w:tr>
        <w:tc>
          <w:tcPr>
            <w:tcW w:type="dxa" w:w="14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FR-W05</w:t>
            </w:r>
          </w:p>
        </w:tc>
        <w:tc>
          <w:tcPr>
            <w:tcW w:type="dxa" w:w="79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Work items display full comment history with @mentions, reactions, and rich text/code formatting.</w:t>
            </w:r>
          </w:p>
        </w:tc>
      </w:tr>
      <w:tr>
        <w:tc>
          <w:tcPr>
            <w:tcW w:type="dxa" w:w="14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FR-W06</w:t>
            </w:r>
          </w:p>
        </w:tc>
        <w:tc>
          <w:tcPr>
            <w:tcW w:type="dxa" w:w="79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Work item keys and URLs are preserved from the legacy Jira DC instance; legacy URLs redirect permanently post-migration.</w:t>
            </w:r>
          </w:p>
        </w:tc>
      </w:tr>
      <w:tr>
        <w:tc>
          <w:tcPr>
            <w:tcW w:type="dxa" w:w="14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FR-W07</w:t>
            </w:r>
          </w:p>
        </w:tc>
        <w:tc>
          <w:tcPr>
            <w:tcW w:type="dxa" w:w="79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The system detects and blocks likely PII (e.g. account numbers) at the point of entry, and flags pre-existing content for admin review.</w:t>
            </w:r>
          </w:p>
        </w:tc>
      </w:tr>
    </w:tbl>
    <w:p>
      <w:pPr>
        <w:spacing w:after="120"/>
      </w:pPr>
    </w:p>
    <w:p>
      <w:pPr>
        <w:pStyle w:val="Heading2"/>
        <w:spacing w:after="120" w:before="280"/>
      </w:pPr>
      <w:r>
        <w:rPr>
          <w:b/>
          <w:bCs/>
          <w:color w:val="1C1917"/>
          <w:sz w:val="24"/>
          <w:szCs w:val="24"/>
        </w:rPr>
        <w:t xml:space="preserve">8.2 Workflow Engine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7950"/>
      </w:tblGrid>
      <w:tr>
        <w:trPr>
          <w:tblHeader/>
        </w:trPr>
        <w:tc>
          <w:tcPr>
            <w:tcW w:type="dxa" w:w="140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ID</w:t>
            </w:r>
          </w:p>
        </w:tc>
        <w:tc>
          <w:tcPr>
            <w:tcW w:type="dxa" w:w="795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Requirement</w:t>
            </w:r>
          </w:p>
        </w:tc>
      </w:tr>
      <w:tr>
        <w:tc>
          <w:tcPr>
            <w:tcW w:type="dxa" w:w="14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FR-WF01</w:t>
            </w:r>
          </w:p>
        </w:tc>
        <w:tc>
          <w:tcPr>
            <w:tcW w:type="dxa" w:w="79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Admins define workflows visually as a state-machine diagram rather than through Jira-style scheme configuration.</w:t>
            </w:r>
          </w:p>
        </w:tc>
      </w:tr>
      <w:tr>
        <w:tc>
          <w:tcPr>
            <w:tcW w:type="dxa" w:w="14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FR-WF02</w:t>
            </w:r>
          </w:p>
        </w:tc>
        <w:tc>
          <w:tcPr>
            <w:tcW w:type="dxa" w:w="79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Each transition supports plain-language rules across three categories: who can perform it, checks required beforehand, and actions triggered on completion — no condition/validator/post-function jargon exposed to admins.</w:t>
            </w:r>
          </w:p>
        </w:tc>
      </w:tr>
      <w:tr>
        <w:tc>
          <w:tcPr>
            <w:tcW w:type="dxa" w:w="14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FR-WF03</w:t>
            </w:r>
          </w:p>
        </w:tc>
        <w:tc>
          <w:tcPr>
            <w:tcW w:type="dxa" w:w="79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Workflow changes are versioned; a Draft must be explicitly Published, with a required change-description comment recorded on the audit log.</w:t>
            </w:r>
          </w:p>
        </w:tc>
      </w:tr>
      <w:tr>
        <w:tc>
          <w:tcPr>
            <w:tcW w:type="dxa" w:w="14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FR-WF04</w:t>
            </w:r>
          </w:p>
        </w:tc>
        <w:tc>
          <w:tcPr>
            <w:tcW w:type="dxa" w:w="79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Publishing a workflow change surfaces a diff of what changed and the number of projects/open items affected before confirmation.</w:t>
            </w:r>
          </w:p>
        </w:tc>
      </w:tr>
      <w:tr>
        <w:tc>
          <w:tcPr>
            <w:tcW w:type="dxa" w:w="14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FR-WF05</w:t>
            </w:r>
          </w:p>
        </w:tc>
        <w:tc>
          <w:tcPr>
            <w:tcW w:type="dxa" w:w="79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Admins can simulate a workflow using a test token without affecting real data.</w:t>
            </w:r>
          </w:p>
        </w:tc>
      </w:tr>
    </w:tbl>
    <w:p>
      <w:pPr>
        <w:spacing w:after="120"/>
      </w:pPr>
    </w:p>
    <w:p>
      <w:pPr>
        <w:pStyle w:val="Heading2"/>
        <w:spacing w:after="120" w:before="280"/>
      </w:pPr>
      <w:r>
        <w:rPr>
          <w:b/>
          <w:bCs/>
          <w:color w:val="1C1917"/>
          <w:sz w:val="24"/>
          <w:szCs w:val="24"/>
        </w:rPr>
        <w:t xml:space="preserve">8.3 Boards, Backlog &amp; Sprints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7950"/>
      </w:tblGrid>
      <w:tr>
        <w:trPr>
          <w:tblHeader/>
        </w:trPr>
        <w:tc>
          <w:tcPr>
            <w:tcW w:type="dxa" w:w="140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ID</w:t>
            </w:r>
          </w:p>
        </w:tc>
        <w:tc>
          <w:tcPr>
            <w:tcW w:type="dxa" w:w="795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Requirement</w:t>
            </w:r>
          </w:p>
        </w:tc>
      </w:tr>
      <w:tr>
        <w:tc>
          <w:tcPr>
            <w:tcW w:type="dxa" w:w="14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FR-B01</w:t>
            </w:r>
          </w:p>
        </w:tc>
        <w:tc>
          <w:tcPr>
            <w:tcW w:type="dxa" w:w="79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Boards display work items in columns matching workflow statuses, with configurable WIP limits and a visible at-limit indicator.</w:t>
            </w:r>
          </w:p>
        </w:tc>
      </w:tr>
      <w:tr>
        <w:tc>
          <w:tcPr>
            <w:tcW w:type="dxa" w:w="14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FR-B02</w:t>
            </w:r>
          </w:p>
        </w:tc>
        <w:tc>
          <w:tcPr>
            <w:tcW w:type="dxa" w:w="79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Users can drag items between columns and into/within the backlog and sprint with optimistic (instant) UI updates.</w:t>
            </w:r>
          </w:p>
        </w:tc>
      </w:tr>
      <w:tr>
        <w:tc>
          <w:tcPr>
            <w:tcW w:type="dxa" w:w="14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FR-B03</w:t>
            </w:r>
          </w:p>
        </w:tc>
        <w:tc>
          <w:tcPr>
            <w:tcW w:type="dxa" w:w="79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The backlog supports keyboard-driven quick-create, drag re-ranking, and multi-select bulk actions (move to sprint, assign, label, delete).</w:t>
            </w:r>
          </w:p>
        </w:tc>
      </w:tr>
      <w:tr>
        <w:tc>
          <w:tcPr>
            <w:tcW w:type="dxa" w:w="14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FR-B04</w:t>
            </w:r>
          </w:p>
        </w:tc>
        <w:tc>
          <w:tcPr>
            <w:tcW w:type="dxa" w:w="79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Sprint planning displays committed points against team velocity, warning — never blocking — when scope exceeds velocity.</w:t>
            </w:r>
          </w:p>
        </w:tc>
      </w:tr>
      <w:tr>
        <w:tc>
          <w:tcPr>
            <w:tcW w:type="dxa" w:w="14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FR-B05</w:t>
            </w:r>
          </w:p>
        </w:tc>
        <w:tc>
          <w:tcPr>
            <w:tcW w:type="dxa" w:w="79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Boards support grouping by epic (swimlane view) and a compact single-line density mode.</w:t>
            </w:r>
          </w:p>
        </w:tc>
      </w:tr>
    </w:tbl>
    <w:p>
      <w:pPr>
        <w:spacing w:after="120"/>
      </w:pPr>
    </w:p>
    <w:p>
      <w:pPr>
        <w:pStyle w:val="Heading2"/>
        <w:spacing w:after="120" w:before="280"/>
      </w:pPr>
      <w:r>
        <w:rPr>
          <w:b/>
          <w:bCs/>
          <w:color w:val="1C1917"/>
          <w:sz w:val="24"/>
          <w:szCs w:val="24"/>
        </w:rPr>
        <w:t xml:space="preserve">8.4 Search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7950"/>
      </w:tblGrid>
      <w:tr>
        <w:trPr>
          <w:tblHeader/>
        </w:trPr>
        <w:tc>
          <w:tcPr>
            <w:tcW w:type="dxa" w:w="140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ID</w:t>
            </w:r>
          </w:p>
        </w:tc>
        <w:tc>
          <w:tcPr>
            <w:tcW w:type="dxa" w:w="795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Requirement</w:t>
            </w:r>
          </w:p>
        </w:tc>
      </w:tr>
      <w:tr>
        <w:tc>
          <w:tcPr>
            <w:tcW w:type="dxa" w:w="14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FR-S01</w:t>
            </w:r>
          </w:p>
        </w:tc>
        <w:tc>
          <w:tcPr>
            <w:tcW w:type="dxa" w:w="79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Users can build a query via clickable filter tokens without needing to learn a query syntax.</w:t>
            </w:r>
          </w:p>
        </w:tc>
      </w:tr>
      <w:tr>
        <w:tc>
          <w:tcPr>
            <w:tcW w:type="dxa" w:w="14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FR-S02</w:t>
            </w:r>
          </w:p>
        </w:tc>
        <w:tc>
          <w:tcPr>
            <w:tcW w:type="dxa" w:w="79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Power users can enter queries directly in a JQL-compatible syntax (independently named, not trademarked) with live autocomplete.</w:t>
            </w:r>
          </w:p>
        </w:tc>
      </w:tr>
      <w:tr>
        <w:tc>
          <w:tcPr>
            <w:tcW w:type="dxa" w:w="14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FR-S03</w:t>
            </w:r>
          </w:p>
        </w:tc>
        <w:tc>
          <w:tcPr>
            <w:tcW w:type="dxa" w:w="79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Where enabled by admin policy, users may enter a plain-English request that compiles visibly into the same filter tokens the builder would produce, before running — never a black-box result.</w:t>
            </w:r>
          </w:p>
        </w:tc>
      </w:tr>
      <w:tr>
        <w:tc>
          <w:tcPr>
            <w:tcW w:type="dxa" w:w="14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FR-S04</w:t>
            </w:r>
          </w:p>
        </w:tc>
        <w:tc>
          <w:tcPr>
            <w:tcW w:type="dxa" w:w="79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Users can save, share, and subscribe to (digest alert) any query as a named view.</w:t>
            </w:r>
          </w:p>
        </w:tc>
      </w:tr>
    </w:tbl>
    <w:p>
      <w:pPr>
        <w:spacing w:after="120"/>
      </w:pPr>
    </w:p>
    <w:p>
      <w:pPr>
        <w:pStyle w:val="Heading2"/>
        <w:spacing w:after="120" w:before="280"/>
      </w:pPr>
      <w:r>
        <w:rPr>
          <w:b/>
          <w:bCs/>
          <w:color w:val="1C1917"/>
          <w:sz w:val="24"/>
          <w:szCs w:val="24"/>
        </w:rPr>
        <w:t xml:space="preserve">8.5 Notifications &amp; Personal Work Views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7950"/>
      </w:tblGrid>
      <w:tr>
        <w:trPr>
          <w:tblHeader/>
        </w:trPr>
        <w:tc>
          <w:tcPr>
            <w:tcW w:type="dxa" w:w="140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ID</w:t>
            </w:r>
          </w:p>
        </w:tc>
        <w:tc>
          <w:tcPr>
            <w:tcW w:type="dxa" w:w="795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Requirement</w:t>
            </w:r>
          </w:p>
        </w:tc>
      </w:tr>
      <w:tr>
        <w:tc>
          <w:tcPr>
            <w:tcW w:type="dxa" w:w="14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FR-N01</w:t>
            </w:r>
          </w:p>
        </w:tc>
        <w:tc>
          <w:tcPr>
            <w:tcW w:type="dxa" w:w="79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Notifications are grouped by the work item they relate to, not issued one per event.</w:t>
            </w:r>
          </w:p>
        </w:tc>
      </w:tr>
      <w:tr>
        <w:tc>
          <w:tcPr>
            <w:tcW w:type="dxa" w:w="14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FR-N02</w:t>
            </w:r>
          </w:p>
        </w:tc>
        <w:tc>
          <w:tcPr>
            <w:tcW w:type="dxa" w:w="79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Users triage notifications through Unread / Read / Done states with keyboard navigation.</w:t>
            </w:r>
          </w:p>
        </w:tc>
      </w:tr>
      <w:tr>
        <w:tc>
          <w:tcPr>
            <w:tcW w:type="dxa" w:w="14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FR-N03</w:t>
            </w:r>
          </w:p>
        </w:tc>
        <w:tc>
          <w:tcPr>
            <w:tcW w:type="dxa" w:w="79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Users choose per-category delivery — instant or daily digest; blocked/security notices cannot be muted.</w:t>
            </w:r>
          </w:p>
        </w:tc>
      </w:tr>
      <w:tr>
        <w:tc>
          <w:tcPr>
            <w:tcW w:type="dxa" w:w="14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FR-N04</w:t>
            </w:r>
          </w:p>
        </w:tc>
        <w:tc>
          <w:tcPr>
            <w:tcW w:type="dxa" w:w="79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A personal “Your Work” view presents assigned, created, and watched items in one place, with blocked items surfaced first.</w:t>
            </w:r>
          </w:p>
        </w:tc>
      </w:tr>
    </w:tbl>
    <w:p>
      <w:pPr>
        <w:spacing w:after="120"/>
      </w:pPr>
    </w:p>
    <w:p>
      <w:pPr>
        <w:pStyle w:val="Heading2"/>
        <w:spacing w:after="120" w:before="280"/>
      </w:pPr>
      <w:r>
        <w:rPr>
          <w:b/>
          <w:bCs/>
          <w:color w:val="1C1917"/>
          <w:sz w:val="24"/>
          <w:szCs w:val="24"/>
        </w:rPr>
        <w:t xml:space="preserve">8.6 Reporting &amp; Dashboards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7950"/>
      </w:tblGrid>
      <w:tr>
        <w:trPr>
          <w:tblHeader/>
        </w:trPr>
        <w:tc>
          <w:tcPr>
            <w:tcW w:type="dxa" w:w="140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ID</w:t>
            </w:r>
          </w:p>
        </w:tc>
        <w:tc>
          <w:tcPr>
            <w:tcW w:type="dxa" w:w="795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Requirement</w:t>
            </w:r>
          </w:p>
        </w:tc>
      </w:tr>
      <w:tr>
        <w:tc>
          <w:tcPr>
            <w:tcW w:type="dxa" w:w="14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FR-R01</w:t>
            </w:r>
          </w:p>
        </w:tc>
        <w:tc>
          <w:tcPr>
            <w:tcW w:type="dxa" w:w="79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Users assemble dashboards from a defined set of report tile types (burnup, cycle time, WIP by column, blocked items, throughput, scope-change log, workload by assignee).</w:t>
            </w:r>
          </w:p>
        </w:tc>
      </w:tr>
      <w:tr>
        <w:tc>
          <w:tcPr>
            <w:tcW w:type="dxa" w:w="14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FR-R02</w:t>
            </w:r>
          </w:p>
        </w:tc>
        <w:tc>
          <w:tcPr>
            <w:tcW w:type="dxa" w:w="79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Dashboards respect the viewer's item-level permissions; a shared dashboard never reveals data the viewer could not otherwise query.</w:t>
            </w:r>
          </w:p>
        </w:tc>
      </w:tr>
      <w:tr>
        <w:tc>
          <w:tcPr>
            <w:tcW w:type="dxa" w:w="14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FR-R03</w:t>
            </w:r>
          </w:p>
        </w:tc>
        <w:tc>
          <w:tcPr>
            <w:tcW w:type="dxa" w:w="79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Dashboards support export (PDF/PNG), a distraction-free present mode, and scheduled subscription.</w:t>
            </w:r>
          </w:p>
        </w:tc>
      </w:tr>
      <w:tr>
        <w:tc>
          <w:tcPr>
            <w:tcW w:type="dxa" w:w="14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FR-R04</w:t>
            </w:r>
          </w:p>
        </w:tc>
        <w:tc>
          <w:tcPr>
            <w:tcW w:type="dxa" w:w="79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A stale/delayed data tile is visually distinct from a broken tile — silently wrong data is treated as a worse failure than visibly missing data.</w:t>
            </w:r>
          </w:p>
        </w:tc>
      </w:tr>
    </w:tbl>
    <w:p>
      <w:pPr>
        <w:spacing w:after="120"/>
      </w:pPr>
    </w:p>
    <w:p>
      <w:pPr>
        <w:pStyle w:val="Heading2"/>
        <w:spacing w:after="120" w:before="280"/>
      </w:pPr>
      <w:r>
        <w:rPr>
          <w:b/>
          <w:bCs/>
          <w:color w:val="1C1917"/>
          <w:sz w:val="24"/>
          <w:szCs w:val="24"/>
        </w:rPr>
        <w:t xml:space="preserve">8.7 Automation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7950"/>
      </w:tblGrid>
      <w:tr>
        <w:trPr>
          <w:tblHeader/>
        </w:trPr>
        <w:tc>
          <w:tcPr>
            <w:tcW w:type="dxa" w:w="140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ID</w:t>
            </w:r>
          </w:p>
        </w:tc>
        <w:tc>
          <w:tcPr>
            <w:tcW w:type="dxa" w:w="795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Requirement</w:t>
            </w:r>
          </w:p>
        </w:tc>
      </w:tr>
      <w:tr>
        <w:tc>
          <w:tcPr>
            <w:tcW w:type="dxa" w:w="14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FR-AU01</w:t>
            </w:r>
          </w:p>
        </w:tc>
        <w:tc>
          <w:tcPr>
            <w:tcW w:type="dxa" w:w="79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Users can define project-scoped automation rules (trigger → condition → action).</w:t>
            </w:r>
          </w:p>
        </w:tc>
      </w:tr>
      <w:tr>
        <w:tc>
          <w:tcPr>
            <w:tcW w:type="dxa" w:w="14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FR-AU02</w:t>
            </w:r>
          </w:p>
        </w:tc>
        <w:tc>
          <w:tcPr>
            <w:tcW w:type="dxa" w:w="79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Automation and user-authored scripts execute in the isolated sandbox satellite with enforced resource and rate quotas.</w:t>
            </w:r>
          </w:p>
        </w:tc>
      </w:tr>
      <w:tr>
        <w:tc>
          <w:tcPr>
            <w:tcW w:type="dxa" w:w="14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FR-AU03</w:t>
            </w:r>
          </w:p>
        </w:tc>
        <w:tc>
          <w:tcPr>
            <w:tcW w:type="dxa" w:w="79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Automation execution history and failures are visible to the rule owner.</w:t>
            </w:r>
          </w:p>
        </w:tc>
      </w:tr>
    </w:tbl>
    <w:p>
      <w:pPr>
        <w:spacing w:after="120"/>
      </w:pPr>
    </w:p>
    <w:p>
      <w:pPr>
        <w:pStyle w:val="Heading2"/>
        <w:spacing w:after="120" w:before="280"/>
      </w:pPr>
      <w:r>
        <w:rPr>
          <w:b/>
          <w:bCs/>
          <w:color w:val="1C1917"/>
          <w:sz w:val="24"/>
          <w:szCs w:val="24"/>
        </w:rPr>
        <w:t xml:space="preserve">8.8 Administration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7950"/>
      </w:tblGrid>
      <w:tr>
        <w:trPr>
          <w:tblHeader/>
        </w:trPr>
        <w:tc>
          <w:tcPr>
            <w:tcW w:type="dxa" w:w="140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ID</w:t>
            </w:r>
          </w:p>
        </w:tc>
        <w:tc>
          <w:tcPr>
            <w:tcW w:type="dxa" w:w="795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Requirement</w:t>
            </w:r>
          </w:p>
        </w:tc>
      </w:tr>
      <w:tr>
        <w:tc>
          <w:tcPr>
            <w:tcW w:type="dxa" w:w="14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FR-AD01</w:t>
            </w:r>
          </w:p>
        </w:tc>
        <w:tc>
          <w:tcPr>
            <w:tcW w:type="dxa" w:w="79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Admins manage project-level access through a plain-language roster model (Admin / Member / Viewer) rather than permission schemes.</w:t>
            </w:r>
          </w:p>
        </w:tc>
      </w:tr>
      <w:tr>
        <w:tc>
          <w:tcPr>
            <w:tcW w:type="dxa" w:w="14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FR-AD02</w:t>
            </w:r>
          </w:p>
        </w:tc>
        <w:tc>
          <w:tcPr>
            <w:tcW w:type="dxa" w:w="79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Admins manage AI usage, per-team credit budgets with alert thresholds, and enablement policy; every change requires a recorded reason and appears in an immutable history log (see §7).</w:t>
            </w:r>
          </w:p>
        </w:tc>
      </w:tr>
      <w:tr>
        <w:tc>
          <w:tcPr>
            <w:tcW w:type="dxa" w:w="14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FR-AD03</w:t>
            </w:r>
          </w:p>
        </w:tc>
        <w:tc>
          <w:tcPr>
            <w:tcW w:type="dxa" w:w="79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Admins can view system health, the audit log, and the add-on marketplace review queue.</w:t>
            </w:r>
          </w:p>
        </w:tc>
      </w:tr>
    </w:tbl>
    <w:p>
      <w:pPr>
        <w:spacing w:after="120"/>
      </w:pPr>
    </w:p>
    <w:p>
      <w:pPr>
        <w:pStyle w:val="Heading2"/>
        <w:spacing w:after="120" w:before="280"/>
      </w:pPr>
      <w:r>
        <w:rPr>
          <w:b/>
          <w:bCs/>
          <w:color w:val="1C1917"/>
          <w:sz w:val="24"/>
          <w:szCs w:val="24"/>
        </w:rPr>
        <w:t xml:space="preserve">8.9 Extensibility &amp; Add-on Marketplace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7950"/>
      </w:tblGrid>
      <w:tr>
        <w:trPr>
          <w:tblHeader/>
        </w:trPr>
        <w:tc>
          <w:tcPr>
            <w:tcW w:type="dxa" w:w="140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ID</w:t>
            </w:r>
          </w:p>
        </w:tc>
        <w:tc>
          <w:tcPr>
            <w:tcW w:type="dxa" w:w="795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Requirement</w:t>
            </w:r>
          </w:p>
        </w:tc>
      </w:tr>
      <w:tr>
        <w:tc>
          <w:tcPr>
            <w:tcW w:type="dxa" w:w="14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FR-M01</w:t>
            </w:r>
          </w:p>
        </w:tc>
        <w:tc>
          <w:tcPr>
            <w:tcW w:type="dxa" w:w="79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Internal developers build add-ons against a published SDK with clearly scoped, sandbox-enforced permissions.</w:t>
            </w:r>
          </w:p>
        </w:tc>
      </w:tr>
      <w:tr>
        <w:tc>
          <w:tcPr>
            <w:tcW w:type="dxa" w:w="14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FR-M02</w:t>
            </w:r>
          </w:p>
        </w:tc>
        <w:tc>
          <w:tcPr>
            <w:tcW w:type="dxa" w:w="79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Teams browse, install (project-scoped or org-wide with admin approval), and manage internal add-ons through a marketplace catalog.</w:t>
            </w:r>
          </w:p>
        </w:tc>
      </w:tr>
      <w:tr>
        <w:tc>
          <w:tcPr>
            <w:tcW w:type="dxa" w:w="14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FR-M03</w:t>
            </w:r>
          </w:p>
        </w:tc>
        <w:tc>
          <w:tcPr>
            <w:tcW w:type="dxa" w:w="79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New add-ons, and add-ons requesting expanded permissions, pass an admin review queue with automated sandbox/security checks before approval.</w:t>
            </w:r>
          </w:p>
        </w:tc>
      </w:tr>
    </w:tbl>
    <w:p>
      <w:pPr>
        <w:spacing w:after="120"/>
      </w:pPr>
    </w:p>
    <w:p>
      <w:pPr>
        <w:pStyle w:val="Heading2"/>
        <w:spacing w:after="120" w:before="280"/>
      </w:pPr>
      <w:r>
        <w:rPr>
          <w:b/>
          <w:bCs/>
          <w:color w:val="1C1917"/>
          <w:sz w:val="24"/>
          <w:szCs w:val="24"/>
        </w:rPr>
        <w:t xml:space="preserve">8.10 Migration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7950"/>
      </w:tblGrid>
      <w:tr>
        <w:trPr>
          <w:tblHeader/>
        </w:trPr>
        <w:tc>
          <w:tcPr>
            <w:tcW w:type="dxa" w:w="140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ID</w:t>
            </w:r>
          </w:p>
        </w:tc>
        <w:tc>
          <w:tcPr>
            <w:tcW w:type="dxa" w:w="795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Requirement</w:t>
            </w:r>
          </w:p>
        </w:tc>
      </w:tr>
      <w:tr>
        <w:tc>
          <w:tcPr>
            <w:tcW w:type="dxa" w:w="14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FR-MG01</w:t>
            </w:r>
          </w:p>
        </w:tc>
        <w:tc>
          <w:tcPr>
            <w:tcW w:type="dxa" w:w="79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All Jira DC data migrates with full fidelity per the Class A model in §6.1.</w:t>
            </w:r>
          </w:p>
        </w:tc>
      </w:tr>
      <w:tr>
        <w:tc>
          <w:tcPr>
            <w:tcW w:type="dxa" w:w="14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FR-MG02</w:t>
            </w:r>
          </w:p>
        </w:tc>
        <w:tc>
          <w:tcPr>
            <w:tcW w:type="dxa" w:w="79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Legacy Jira DC issue URLs redirect permanently to their Strand equivalents post-migration.</w:t>
            </w:r>
          </w:p>
        </w:tc>
      </w:tr>
      <w:tr>
        <w:tc>
          <w:tcPr>
            <w:tcW w:type="dxa" w:w="14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FR-MG03</w:t>
            </w:r>
          </w:p>
        </w:tc>
        <w:tc>
          <w:tcPr>
            <w:tcW w:type="dxa" w:w="79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Migration executes in independently reconciled waves with audit sign-off evidence retained, per §6.2.</w:t>
            </w:r>
          </w:p>
        </w:tc>
      </w:tr>
      <w:tr>
        <w:tc>
          <w:tcPr>
            <w:tcW w:type="dxa" w:w="14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FR-MG04</w:t>
            </w:r>
          </w:p>
        </w:tc>
        <w:tc>
          <w:tcPr>
            <w:tcW w:type="dxa" w:w="79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Configuration migrates per the Class B semantic-fidelity model in §6.1, pending final Product Owner ratification.</w:t>
            </w:r>
          </w:p>
        </w:tc>
      </w:tr>
    </w:tbl>
    <w:p>
      <w:pPr>
        <w:spacing w:after="120"/>
      </w:pPr>
    </w:p>
    <w:p>
      <w:r>
        <w:br w:type="page"/>
      </w:r>
    </w:p>
    <w:p>
      <w:pPr>
        <w:pStyle w:val="Heading1"/>
        <w:pBdr>
          <w:bottom w:val="single" w:color="006044" w:sz="6" w:space="4"/>
        </w:pBdr>
        <w:spacing w:after="160" w:before="420"/>
      </w:pPr>
      <w:r>
        <w:rPr>
          <w:b/>
          <w:bCs/>
          <w:color w:val="006044"/>
          <w:sz w:val="30"/>
          <w:szCs w:val="30"/>
        </w:rPr>
        <w:t xml:space="preserve">9. Non-Functional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Category</w:t>
            </w:r>
          </w:p>
        </w:tc>
        <w:tc>
          <w:tcPr>
            <w:tcW w:type="dxa" w:w="715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Requirement</w:t>
            </w:r>
          </w:p>
        </w:tc>
      </w:tr>
      <w:tr>
        <w:tc>
          <w:tcPr>
            <w:tcW w:type="dxa" w:w="22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Performance</w:t>
            </w:r>
          </w:p>
        </w:tc>
        <w:tc>
          <w:tcPr>
            <w:tcW w:type="dxa" w:w="71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Interactive operations (board load, item open, search) complete within budgeted latency at 20,000–25,000 concurrent users; enforced via CI performance budgets against a production-shaped synthetic dataset, not asserted post-hoc</w:t>
            </w:r>
          </w:p>
        </w:tc>
      </w:tr>
      <w:tr>
        <w:tc>
          <w:tcPr>
            <w:tcW w:type="dxa" w:w="22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Availability</w:t>
            </w:r>
          </w:p>
        </w:tc>
        <w:tc>
          <w:tcPr>
            <w:tcW w:type="dxa" w:w="71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Target RTO ≤ 1 hour — improving on the current 1–2 hour posture; near-zero RPO for the system of record via Aurora Global Database</w:t>
            </w:r>
          </w:p>
        </w:tc>
      </w:tr>
      <w:tr>
        <w:tc>
          <w:tcPr>
            <w:tcW w:type="dxa" w:w="22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Security</w:t>
            </w:r>
          </w:p>
        </w:tc>
        <w:tc>
          <w:tcPr>
            <w:tcW w:type="dxa" w:w="71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SSO via SAML/OIDC; SCIM provisioning at 100,000-directory scale; TLS in transit, encryption at rest; High/Critical security findings block release, non-overridable except by named security authority</w:t>
            </w:r>
          </w:p>
        </w:tc>
      </w:tr>
      <w:tr>
        <w:tc>
          <w:tcPr>
            <w:tcW w:type="dxa" w:w="22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Audit</w:t>
            </w:r>
          </w:p>
        </w:tc>
        <w:tc>
          <w:tcPr>
            <w:tcW w:type="dxa" w:w="71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Every state-changing action and every AI interaction recorded on an immutable, hash-chained audit log with defined retention</w:t>
            </w:r>
          </w:p>
        </w:tc>
      </w:tr>
      <w:tr>
        <w:tc>
          <w:tcPr>
            <w:tcW w:type="dxa" w:w="22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Data protection</w:t>
            </w:r>
          </w:p>
        </w:tc>
        <w:tc>
          <w:tcPr>
            <w:tcW w:type="dxa" w:w="71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Personal data tokenized before entering the event log or audit tier, supporting erasure via crypto-shredding without breaking audit-chain integrity</w:t>
            </w:r>
          </w:p>
        </w:tc>
      </w:tr>
      <w:tr>
        <w:tc>
          <w:tcPr>
            <w:tcW w:type="dxa" w:w="22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Scalability</w:t>
            </w:r>
          </w:p>
        </w:tc>
        <w:tc>
          <w:tcPr>
            <w:tcW w:type="dxa" w:w="71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Must sustain current peak concurrency (20–25k) with headroom for organic growth through the platform's operating life</w:t>
            </w:r>
          </w:p>
        </w:tc>
      </w:tr>
      <w:tr>
        <w:tc>
          <w:tcPr>
            <w:tcW w:type="dxa" w:w="22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Accessibility</w:t>
            </w:r>
          </w:p>
        </w:tc>
        <w:tc>
          <w:tcPr>
            <w:tcW w:type="dxa" w:w="71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WCAG 2.1 AA across the user-facing application</w:t>
            </w:r>
          </w:p>
        </w:tc>
      </w:tr>
      <w:tr>
        <w:tc>
          <w:tcPr>
            <w:tcW w:type="dxa" w:w="22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Deployment</w:t>
            </w:r>
          </w:p>
        </w:tc>
        <w:tc>
          <w:tcPr>
            <w:tcW w:type="dxa" w:w="71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AWS EKS in Meridian Capital's own AWS account; no multi-tenant infrastructure</w:t>
            </w:r>
          </w:p>
        </w:tc>
      </w:tr>
      <w:tr>
        <w:tc>
          <w:tcPr>
            <w:tcW w:type="dxa" w:w="22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AI governance</w:t>
            </w:r>
          </w:p>
        </w:tc>
        <w:tc>
          <w:tcPr>
            <w:tcW w:type="dxa" w:w="71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All AI usage metered, budgeted, and governed per §7; model change-management recorded</w:t>
            </w:r>
          </w:p>
        </w:tc>
      </w:tr>
      <w:tr>
        <w:tc>
          <w:tcPr>
            <w:tcW w:type="dxa" w:w="22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Operability</w:t>
            </w:r>
          </w:p>
        </w:tc>
        <w:tc>
          <w:tcPr>
            <w:tcW w:type="dxa" w:w="71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New application nodes must become fully operational without per-node search-index copying (directly resolving the confirmed index-sync pain point)</w:t>
            </w:r>
          </w:p>
        </w:tc>
      </w:tr>
    </w:tbl>
    <w:p>
      <w:r>
        <w:br w:type="page"/>
      </w:r>
    </w:p>
    <w:p>
      <w:pPr>
        <w:pStyle w:val="Heading1"/>
        <w:pBdr>
          <w:bottom w:val="single" w:color="006044" w:sz="6" w:space="4"/>
        </w:pBdr>
        <w:spacing w:after="160" w:before="420"/>
      </w:pPr>
      <w:r>
        <w:rPr>
          <w:b/>
          <w:bCs/>
          <w:color w:val="006044"/>
          <w:sz w:val="30"/>
          <w:szCs w:val="30"/>
        </w:rPr>
        <w:t xml:space="preserve">10. Delivery Organization &amp; Engineering Governance</w:t>
      </w:r>
    </w:p>
    <w:p>
      <w:pPr>
        <w:spacing w:after="160" w:line="300"/>
      </w:pPr>
      <w:r>
        <w:rPr>
          <w:b w:val="false"/>
          <w:bCs w:val="false"/>
          <w:i w:val="false"/>
          <w:iCs w:val="false"/>
          <w:sz w:val="21"/>
          <w:szCs w:val="21"/>
        </w:rPr>
        <w:t xml:space="preserve">A platform of this scale is not fully specified by requirements alone; how it is built materially affects what gets built. This section is included because the program treats delivery discipline as a product requirement, not an implementation detail left to chance.</w:t>
      </w:r>
    </w:p>
    <w:p>
      <w:pPr>
        <w:pStyle w:val="Heading2"/>
        <w:spacing w:after="120" w:before="280"/>
      </w:pPr>
      <w:r>
        <w:rPr>
          <w:b/>
          <w:bCs/>
          <w:color w:val="1C1917"/>
          <w:sz w:val="24"/>
          <w:szCs w:val="24"/>
        </w:rPr>
        <w:t xml:space="preserve">10.1 Team Composition</w:t>
      </w:r>
    </w:p>
    <w:p>
      <w:pPr>
        <w:spacing w:after="160" w:line="300"/>
      </w:pPr>
      <w:r>
        <w:rPr>
          <w:b w:val="false"/>
          <w:bCs w:val="false"/>
          <w:i w:val="false"/>
          <w:iCs w:val="false"/>
          <w:sz w:val="21"/>
          <w:szCs w:val="21"/>
        </w:rPr>
        <w:t xml:space="preserve">A five-seat senior team — one architect/program lead, a product owner, engineers spanning 10, 6, and 2–3 years of experience, with platform/DevOps and direct Jira DC operational experience — augmented by AI-assisted development that carries the majority of implementation volume. A separate, existing L1 support team remains outside the build organization.</w:t>
      </w:r>
    </w:p>
    <w:p>
      <w:pPr>
        <w:pStyle w:val="Heading2"/>
        <w:spacing w:after="120" w:before="280"/>
      </w:pPr>
      <w:r>
        <w:rPr>
          <w:b/>
          <w:bCs/>
          <w:color w:val="1C1917"/>
          <w:sz w:val="24"/>
          <w:szCs w:val="24"/>
        </w:rPr>
        <w:t xml:space="preserve">10.2 AI-Assisted Development Governance</w:t>
      </w:r>
    </w:p>
    <w:p>
      <w:pPr>
        <w:pStyle w:val="ListParagraph"/>
        <w:numPr>
          <w:ilvl w:val="0"/>
          <w:numId w:val="1"/>
        </w:numPr>
        <w:spacing w:after="70"/>
      </w:pPr>
      <w:r>
        <w:rPr>
          <w:sz w:val="21"/>
          <w:szCs w:val="21"/>
        </w:rPr>
        <w:t xml:space="preserve">AI-generated output is treated as untrusted input until it passes both automated gates (build, tests, static analysis, security scan, performance budget) and human review.</w:t>
      </w:r>
    </w:p>
    <w:p>
      <w:pPr>
        <w:pStyle w:val="ListParagraph"/>
        <w:numPr>
          <w:ilvl w:val="0"/>
          <w:numId w:val="1"/>
        </w:numPr>
        <w:spacing w:after="70"/>
      </w:pPr>
      <w:r>
        <w:rPr>
          <w:sz w:val="21"/>
          <w:szCs w:val="21"/>
        </w:rPr>
        <w:t xml:space="preserve">Review depth scales with blast radius: authorization, cryptography, and migration code receive line-by-line human review; low-risk leaf UI code receives spot review plus tests.</w:t>
      </w:r>
    </w:p>
    <w:p>
      <w:pPr>
        <w:pStyle w:val="ListParagraph"/>
        <w:numPr>
          <w:ilvl w:val="0"/>
          <w:numId w:val="1"/>
        </w:numPr>
        <w:spacing w:after="70"/>
      </w:pPr>
      <w:r>
        <w:rPr>
          <w:sz w:val="21"/>
          <w:szCs w:val="21"/>
        </w:rPr>
        <w:t xml:space="preserve">AI-generated tests never solely verify AI-generated code from the same change.</w:t>
      </w:r>
    </w:p>
    <w:p>
      <w:pPr>
        <w:pStyle w:val="ListParagraph"/>
        <w:numPr>
          <w:ilvl w:val="0"/>
          <w:numId w:val="1"/>
        </w:numPr>
        <w:spacing w:after="70"/>
      </w:pPr>
      <w:r>
        <w:rPr>
          <w:sz w:val="21"/>
          <w:szCs w:val="21"/>
        </w:rPr>
        <w:t xml:space="preserve">Every commit carries generator and reviewer provenance — auditors at a financial enterprise will ask who, or what, wrote the code.</w:t>
      </w:r>
    </w:p>
    <w:p>
      <w:pPr>
        <w:pStyle w:val="ListParagraph"/>
        <w:numPr>
          <w:ilvl w:val="0"/>
          <w:numId w:val="1"/>
        </w:numPr>
        <w:spacing w:after="70"/>
      </w:pPr>
      <w:r>
        <w:rPr>
          <w:sz w:val="21"/>
          <w:szCs w:val="21"/>
        </w:rPr>
        <w:t xml:space="preserve">Agent workflows are measured for defect-escape rate; workflows that leak defects are tightened or retired.</w:t>
      </w:r>
    </w:p>
    <w:p>
      <w:pPr>
        <w:pStyle w:val="Heading2"/>
        <w:spacing w:after="120" w:before="280"/>
      </w:pPr>
      <w:r>
        <w:rPr>
          <w:b/>
          <w:bCs/>
          <w:color w:val="1C1917"/>
          <w:sz w:val="24"/>
          <w:szCs w:val="24"/>
        </w:rPr>
        <w:t xml:space="preserve">10.3 Decision Governance</w:t>
      </w:r>
    </w:p>
    <w:p>
      <w:pPr>
        <w:spacing w:after="160" w:line="300"/>
      </w:pPr>
      <w:r>
        <w:rPr>
          <w:b w:val="false"/>
          <w:bCs w:val="false"/>
          <w:i w:val="false"/>
          <w:iCs w:val="false"/>
          <w:sz w:val="21"/>
          <w:szCs w:val="21"/>
        </w:rPr>
        <w:t xml:space="preserve">Significant, hard-to-reverse (“one-way-door”) technical decisions are recorded as Architecture Decision Records: problem, requirements, constraints, ranked decision drivers, scored options with named trade-offs, recommendation, confidence level, and a defined trigger for revisiting the decision later. No ADR is accepted without evidence — discovery data or a benchmark spike — behind it, and an ADR that lists no disadvantages for its winning option is rejected as incomplete.</w:t>
      </w:r>
    </w:p>
    <w:p>
      <w:r>
        <w:br w:type="page"/>
      </w:r>
    </w:p>
    <w:p>
      <w:pPr>
        <w:pStyle w:val="Heading1"/>
        <w:pBdr>
          <w:bottom w:val="single" w:color="006044" w:sz="6" w:space="4"/>
        </w:pBdr>
        <w:spacing w:after="160" w:before="420"/>
      </w:pPr>
      <w:r>
        <w:rPr>
          <w:b/>
          <w:bCs/>
          <w:color w:val="006044"/>
          <w:sz w:val="30"/>
          <w:szCs w:val="30"/>
        </w:rPr>
        <w:t xml:space="preserve">11. Delivery Roadmap</w:t>
      </w:r>
    </w:p>
    <w:p>
      <w:pPr>
        <w:spacing w:after="160" w:line="300"/>
      </w:pPr>
      <w:r>
        <w:rPr>
          <w:b w:val="false"/>
          <w:bCs w:val="false"/>
          <w:i w:val="false"/>
          <w:iCs w:val="false"/>
          <w:sz w:val="21"/>
          <w:szCs w:val="21"/>
        </w:rPr>
        <w:t xml:space="preserve">Phase-gated, with an explicit exit criterion per phase. Dates are hypotheses to be validated by a capacity model at the end of the Architecture phase — stated honestly as targets, not guarantees.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5100"/>
        <w:gridCol w:w="2550"/>
      </w:tblGrid>
      <w:tr>
        <w:trPr>
          <w:tblHeader/>
        </w:trPr>
        <w:tc>
          <w:tcPr>
            <w:tcW w:type="dxa" w:w="170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Phase</w:t>
            </w:r>
          </w:p>
        </w:tc>
        <w:tc>
          <w:tcPr>
            <w:tcW w:type="dxa" w:w="510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Scope</w:t>
            </w:r>
          </w:p>
        </w:tc>
        <w:tc>
          <w:tcPr>
            <w:tcW w:type="dxa" w:w="255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Exit gate</w:t>
            </w:r>
          </w:p>
        </w:tc>
      </w:tr>
      <w:tr>
        <w:tc>
          <w:tcPr>
            <w:tcW w:type="dxa" w:w="17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P0 — Discovery</w:t>
            </w:r>
          </w:p>
        </w:tc>
        <w:tc>
          <w:tcPr>
            <w:tcW w:type="dxa" w:w="51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Full instance data extraction (volumes, app inventory, usage telemetry); Feature Verdict Table (Keep/Redesign/Replace/Drop per Jira feature)</w:t>
            </w:r>
          </w:p>
        </w:tc>
        <w:tc>
          <w:tcPr>
            <w:tcW w:type="dxa" w:w="25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Discovery report complete and signed off</w:t>
            </w:r>
          </w:p>
        </w:tc>
      </w:tr>
      <w:tr>
        <w:tc>
          <w:tcPr>
            <w:tcW w:type="dxa" w:w="17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P1 — Architecture</w:t>
            </w:r>
          </w:p>
        </w:tc>
        <w:tc>
          <w:tcPr>
            <w:tcW w:type="dxa" w:w="51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Tier-0 architecture decisions drafted and accepted through the six validation spikes (§5.3)</w:t>
            </w:r>
          </w:p>
        </w:tc>
        <w:tc>
          <w:tcPr>
            <w:tcW w:type="dxa" w:w="25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All Tier-0 ADRs Accepted; capacity model validates or corrects the timeline</w:t>
            </w:r>
          </w:p>
        </w:tc>
      </w:tr>
      <w:tr>
        <w:tc>
          <w:tcPr>
            <w:tcW w:type="dxa" w:w="17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P2 — Foundation</w:t>
            </w:r>
          </w:p>
        </w:tc>
        <w:tc>
          <w:tcPr>
            <w:tcW w:type="dxa" w:w="51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Walking skeleton live in Meridian Capital's AWS: core module map, event log, authN/authZ, CI/CD, observability, synthetic load rig green</w:t>
            </w:r>
          </w:p>
        </w:tc>
        <w:tc>
          <w:tcPr>
            <w:tcW w:type="dxa" w:w="25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Foundation demonstrably deployable and observable before feature work begins</w:t>
            </w:r>
          </w:p>
        </w:tc>
      </w:tr>
      <w:tr>
        <w:tc>
          <w:tcPr>
            <w:tcW w:type="dxa" w:w="17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P3 — Build increments</w:t>
            </w:r>
          </w:p>
        </w:tc>
        <w:tc>
          <w:tcPr>
            <w:tcW w:type="dxa" w:w="51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Work items → workflows → boards/search → automation/notifications → reporting/admin → add-on replacement modules; pilot cohort live on real work from roughly the midpoint of this phase</w:t>
            </w:r>
          </w:p>
        </w:tc>
        <w:tc>
          <w:tcPr>
            <w:tcW w:type="dxa" w:w="25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Each increment passes its own acceptance gate before the next begins</w:t>
            </w:r>
          </w:p>
        </w:tc>
      </w:tr>
      <w:tr>
        <w:tc>
          <w:tcPr>
            <w:tcW w:type="dxa" w:w="17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P4 — Migration waves</w:t>
            </w:r>
          </w:p>
        </w:tc>
        <w:tc>
          <w:tcPr>
            <w:tcW w:type="dxa" w:w="51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Wave-based migration execution per §6.2</w:t>
            </w:r>
          </w:p>
        </w:tc>
        <w:tc>
          <w:tcPr>
            <w:tcW w:type="dxa" w:w="25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Reconciliation evidence and sign-off per wave</w:t>
            </w:r>
          </w:p>
        </w:tc>
      </w:tr>
      <w:tr>
        <w:tc>
          <w:tcPr>
            <w:tcW w:type="dxa" w:w="17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P5 — Cutover</w:t>
            </w:r>
          </w:p>
        </w:tc>
        <w:tc>
          <w:tcPr>
            <w:tcW w:type="dxa" w:w="51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Two full rehearsals, rehearsed rollback, audit sign-off, hypercare period</w:t>
            </w:r>
          </w:p>
        </w:tc>
        <w:tc>
          <w:tcPr>
            <w:tcW w:type="dxa" w:w="25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Production go-live — targeted no later than Q3 2028</w:t>
            </w:r>
          </w:p>
        </w:tc>
      </w:tr>
      <w:tr>
        <w:tc>
          <w:tcPr>
            <w:tcW w:type="dxa" w:w="17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P6 — Run &amp; evolve</w:t>
            </w:r>
          </w:p>
        </w:tc>
        <w:tc>
          <w:tcPr>
            <w:tcW w:type="dxa" w:w="51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Meridian Capital's platform team assumes full operational ownership</w:t>
            </w:r>
          </w:p>
        </w:tc>
        <w:tc>
          <w:tcPr>
            <w:tcW w:type="dxa" w:w="25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Quarterly evolution train established</w:t>
            </w:r>
          </w:p>
        </w:tc>
      </w:tr>
    </w:tbl>
    <w:p>
      <w:r>
        <w:br w:type="page"/>
      </w:r>
    </w:p>
    <w:p>
      <w:pPr>
        <w:pStyle w:val="Heading1"/>
        <w:pBdr>
          <w:bottom w:val="single" w:color="006044" w:sz="6" w:space="4"/>
        </w:pBdr>
        <w:spacing w:after="160" w:before="420"/>
      </w:pPr>
      <w:r>
        <w:rPr>
          <w:b/>
          <w:bCs/>
          <w:color w:val="006044"/>
          <w:sz w:val="30"/>
          <w:szCs w:val="30"/>
        </w:rPr>
        <w:t xml:space="preserve">12. Risks &amp; Mitigations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3950"/>
      </w:tblGrid>
      <w:tr>
        <w:trPr>
          <w:tblHeader/>
        </w:trPr>
        <w:tc>
          <w:tcPr>
            <w:tcW w:type="dxa" w:w="300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Risk</w:t>
            </w:r>
          </w:p>
        </w:tc>
        <w:tc>
          <w:tcPr>
            <w:tcW w:type="dxa" w:w="120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Likelihood</w:t>
            </w:r>
          </w:p>
        </w:tc>
        <w:tc>
          <w:tcPr>
            <w:tcW w:type="dxa" w:w="120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Impact</w:t>
            </w:r>
          </w:p>
        </w:tc>
        <w:tc>
          <w:tcPr>
            <w:tcW w:type="dxa" w:w="395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Mitigation</w:t>
            </w:r>
          </w:p>
        </w:tc>
      </w:tr>
      <w:tr>
        <w:tc>
          <w:tcPr>
            <w:tcW w:type="dxa" w:w="30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Migration fidelity across 10+ years of history fails to reconcile or loses user trust</w:t>
            </w:r>
          </w:p>
        </w:tc>
        <w:tc>
          <w:tcPr>
            <w:tcW w:type="dxa" w:w="12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Medium</w:t>
            </w:r>
          </w:p>
        </w:tc>
        <w:tc>
          <w:tcPr>
            <w:tcW w:type="dxa" w:w="12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Critical</w:t>
            </w:r>
          </w:p>
        </w:tc>
        <w:tc>
          <w:tcPr>
            <w:tcW w:type="dxa" w:w="39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Wave-based migration with mandatory per-wave reconciliation evidence and audit sign-off (§6.2)</w:t>
            </w:r>
          </w:p>
        </w:tc>
      </w:tr>
      <w:tr>
        <w:tc>
          <w:tcPr>
            <w:tcW w:type="dxa" w:w="30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Performance at 20–25k concurrent users not met at launch</w:t>
            </w:r>
          </w:p>
        </w:tc>
        <w:tc>
          <w:tcPr>
            <w:tcW w:type="dxa" w:w="12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Medium</w:t>
            </w:r>
          </w:p>
        </w:tc>
        <w:tc>
          <w:tcPr>
            <w:tcW w:type="dxa" w:w="12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Critical</w:t>
            </w:r>
          </w:p>
        </w:tc>
        <w:tc>
          <w:tcPr>
            <w:tcW w:type="dxa" w:w="39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CI performance budgets against a production-shaped synthetic dataset from week one; dedicated validation spikes before architecture acceptance</w:t>
            </w:r>
          </w:p>
        </w:tc>
      </w:tr>
      <w:tr>
        <w:tc>
          <w:tcPr>
            <w:tcW w:type="dxa" w:w="30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Configuration-migration approach (literal vs. semantic) left undecided</w:t>
            </w:r>
          </w:p>
        </w:tc>
        <w:tc>
          <w:tcPr>
            <w:tcW w:type="dxa" w:w="12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High</w:t>
            </w:r>
          </w:p>
        </w:tc>
        <w:tc>
          <w:tcPr>
            <w:tcW w:type="dxa" w:w="12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High</w:t>
            </w:r>
          </w:p>
        </w:tc>
        <w:tc>
          <w:tcPr>
            <w:tcW w:type="dxa" w:w="39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Requires explicit Product Owner ratification before the core data/workflow model is finalized (§6.1)</w:t>
            </w:r>
          </w:p>
        </w:tc>
      </w:tr>
      <w:tr>
        <w:tc>
          <w:tcPr>
            <w:tcW w:type="dxa" w:w="30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Marketplace add-on functional gaps vs. current Jira Marketplace apps</w:t>
            </w:r>
          </w:p>
        </w:tc>
        <w:tc>
          <w:tcPr>
            <w:tcW w:type="dxa" w:w="12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Medium</w:t>
            </w:r>
          </w:p>
        </w:tc>
        <w:tc>
          <w:tcPr>
            <w:tcW w:type="dxa" w:w="12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High</w:t>
            </w:r>
          </w:p>
        </w:tc>
        <w:tc>
          <w:tcPr>
            <w:tcW w:type="dxa" w:w="39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Full current app inventory required in discovery; every critical app assigned a Merge-into-core / Rebuild-as-add-on / Drop verdict before build</w:t>
            </w:r>
          </w:p>
        </w:tc>
      </w:tr>
      <w:tr>
        <w:tc>
          <w:tcPr>
            <w:tcW w:type="dxa" w:w="30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AI retrieval leaks data across permission boundaries</w:t>
            </w:r>
          </w:p>
        </w:tc>
        <w:tc>
          <w:tcPr>
            <w:tcW w:type="dxa" w:w="12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Low</w:t>
            </w:r>
          </w:p>
        </w:tc>
        <w:tc>
          <w:tcPr>
            <w:tcW w:type="dxa" w:w="12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Critical</w:t>
            </w:r>
          </w:p>
        </w:tc>
        <w:tc>
          <w:tcPr>
            <w:tcW w:type="dxa" w:w="39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Retrieval-time authorization identical to standard search, independently spiked and tested (§7 rule 6)</w:t>
            </w:r>
          </w:p>
        </w:tc>
      </w:tr>
      <w:tr>
        <w:tc>
          <w:tcPr>
            <w:tcW w:type="dxa" w:w="30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Review-capacity bottleneck given AI-assisted development volume</w:t>
            </w:r>
          </w:p>
        </w:tc>
        <w:tc>
          <w:tcPr>
            <w:tcW w:type="dxa" w:w="12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Medium</w:t>
            </w:r>
          </w:p>
        </w:tc>
        <w:tc>
          <w:tcPr>
            <w:tcW w:type="dxa" w:w="12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High</w:t>
            </w:r>
          </w:p>
        </w:tc>
        <w:tc>
          <w:tcPr>
            <w:tcW w:type="dxa" w:w="39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Review depth scaled to blast radius (§10.2); concentrated deep review on authorization, migration, and audit-relevant code</w:t>
            </w:r>
          </w:p>
        </w:tc>
      </w:tr>
      <w:tr>
        <w:tc>
          <w:tcPr>
            <w:tcW w:type="dxa" w:w="30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Non-AI functionality quietly degrades relative to AI-enabled paths over time</w:t>
            </w:r>
          </w:p>
        </w:tc>
        <w:tc>
          <w:tcPr>
            <w:tcW w:type="dxa" w:w="12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Medium</w:t>
            </w:r>
          </w:p>
        </w:tc>
        <w:tc>
          <w:tcPr>
            <w:tcW w:type="dxa" w:w="12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Medium</w:t>
            </w:r>
          </w:p>
        </w:tc>
        <w:tc>
          <w:tcPr>
            <w:tcW w:type="dxa" w:w="39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AI-on / AI-off parity is a release gate, tested every cycle, not a one-time check</w:t>
            </w:r>
          </w:p>
        </w:tc>
      </w:tr>
      <w:tr>
        <w:tc>
          <w:tcPr>
            <w:tcW w:type="dxa" w:w="30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Late-arriving InfoSec/architecture review introduces late-stage rework</w:t>
            </w:r>
          </w:p>
        </w:tc>
        <w:tc>
          <w:tcPr>
            <w:tcW w:type="dxa" w:w="12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Medium</w:t>
            </w:r>
          </w:p>
        </w:tc>
        <w:tc>
          <w:tcPr>
            <w:tcW w:type="dxa" w:w="12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Medium</w:t>
            </w:r>
          </w:p>
        </w:tc>
        <w:tc>
          <w:tcPr>
            <w:tcW w:type="dxa" w:w="39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Platform built to enterprise security gates from the outset rather than retrofitted before launch</w:t>
            </w:r>
          </w:p>
        </w:tc>
      </w:tr>
      <w:tr>
        <w:tc>
          <w:tcPr>
            <w:tcW w:type="dxa" w:w="30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Client-sync speed goal conflicts with permission-filtered replication at enterprise scale</w:t>
            </w:r>
          </w:p>
        </w:tc>
        <w:tc>
          <w:tcPr>
            <w:tcW w:type="dxa" w:w="12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Medium</w:t>
            </w:r>
          </w:p>
        </w:tc>
        <w:tc>
          <w:tcPr>
            <w:tcW w:type="dxa" w:w="12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High</w:t>
            </w:r>
          </w:p>
        </w:tc>
        <w:tc>
          <w:tcPr>
            <w:tcW w:type="dxa" w:w="39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Treated as a Tier-0 decision with a dedicated validation spike (§5.4), not deferred as a UI concern</w:t>
            </w:r>
          </w:p>
        </w:tc>
      </w:tr>
    </w:tbl>
    <w:p>
      <w:r>
        <w:br w:type="page"/>
      </w:r>
    </w:p>
    <w:p>
      <w:pPr>
        <w:pStyle w:val="Heading1"/>
        <w:pBdr>
          <w:bottom w:val="single" w:color="006044" w:sz="6" w:space="4"/>
        </w:pBdr>
        <w:spacing w:after="160" w:before="420"/>
      </w:pPr>
      <w:r>
        <w:rPr>
          <w:b/>
          <w:bCs/>
          <w:color w:val="006044"/>
          <w:sz w:val="30"/>
          <w:szCs w:val="30"/>
        </w:rPr>
        <w:t xml:space="preserve">13. Future Enhancements (Phase 2+)</w:t>
      </w:r>
    </w:p>
    <w:p>
      <w:pPr>
        <w:pStyle w:val="ListParagraph"/>
        <w:numPr>
          <w:ilvl w:val="0"/>
          <w:numId w:val="1"/>
        </w:numPr>
        <w:spacing w:after="70"/>
      </w:pPr>
      <w:r>
        <w:rPr>
          <w:sz w:val="21"/>
          <w:szCs w:val="21"/>
        </w:rPr>
        <w:t xml:space="preserve">Jira Service Management / ITSM equivalence, if a future business case emerges.</w:t>
      </w:r>
    </w:p>
    <w:p>
      <w:pPr>
        <w:pStyle w:val="ListParagraph"/>
        <w:numPr>
          <w:ilvl w:val="0"/>
          <w:numId w:val="1"/>
        </w:numPr>
        <w:spacing w:after="70"/>
      </w:pPr>
      <w:r>
        <w:rPr>
          <w:sz w:val="21"/>
          <w:szCs w:val="21"/>
        </w:rPr>
        <w:t xml:space="preserve">Native mobile application (iOS/Android), building on the responsive web foundation.</w:t>
      </w:r>
    </w:p>
    <w:p>
      <w:pPr>
        <w:pStyle w:val="ListParagraph"/>
        <w:numPr>
          <w:ilvl w:val="0"/>
          <w:numId w:val="1"/>
        </w:numPr>
        <w:spacing w:after="70"/>
      </w:pPr>
      <w:r>
        <w:rPr>
          <w:sz w:val="21"/>
          <w:szCs w:val="21"/>
        </w:rPr>
        <w:t xml:space="preserve">Self-hosted / air-gapped AI model hosting, if data-sovereignty requirements tighten beyond the current internal-gateway model.</w:t>
      </w:r>
    </w:p>
    <w:p>
      <w:pPr>
        <w:pStyle w:val="ListParagraph"/>
        <w:numPr>
          <w:ilvl w:val="0"/>
          <w:numId w:val="1"/>
        </w:numPr>
        <w:spacing w:after="70"/>
      </w:pPr>
      <w:r>
        <w:rPr>
          <w:sz w:val="21"/>
          <w:szCs w:val="21"/>
        </w:rPr>
        <w:t xml:space="preserve">Public or cross-organization extensibility marketplace, if the platform is ever productized beyond Meridian Capital.</w:t>
      </w:r>
    </w:p>
    <w:p>
      <w:pPr>
        <w:pStyle w:val="ListParagraph"/>
        <w:numPr>
          <w:ilvl w:val="0"/>
          <w:numId w:val="1"/>
        </w:numPr>
        <w:spacing w:after="70"/>
      </w:pPr>
      <w:r>
        <w:rPr>
          <w:sz w:val="21"/>
          <w:szCs w:val="21"/>
        </w:rPr>
        <w:t xml:space="preserve">Cell-based sharding architecture, if user base or organizational scale materially exceeds current projections — the data model is kept shard-ready (organization-scoped keys, no hidden cross-tenant joins) specifically to keep this path open without a rewrite.</w:t>
      </w:r>
    </w:p>
    <w:p>
      <w:pPr>
        <w:pStyle w:val="ListParagraph"/>
        <w:numPr>
          <w:ilvl w:val="0"/>
          <w:numId w:val="1"/>
        </w:numPr>
        <w:spacing w:after="70"/>
      </w:pPr>
      <w:r>
        <w:rPr>
          <w:sz w:val="21"/>
          <w:szCs w:val="21"/>
        </w:rPr>
        <w:t xml:space="preserve">Expanded AI capability portfolio (e.g. natural-language automation authoring, predictive sprint planning), subject to model-risk governance approval under the §7 framework.</w:t>
      </w:r>
    </w:p>
    <w:p>
      <w:pPr>
        <w:spacing w:after="200"/>
      </w:pPr>
    </w:p>
    <w:p>
      <w:pPr>
        <w:pStyle w:val="Heading1"/>
        <w:pBdr>
          <w:bottom w:val="single" w:color="006044" w:sz="6" w:space="4"/>
        </w:pBdr>
        <w:spacing w:after="160" w:before="420"/>
      </w:pPr>
      <w:r>
        <w:rPr>
          <w:b/>
          <w:bCs/>
          <w:color w:val="006044"/>
          <w:sz w:val="30"/>
          <w:szCs w:val="30"/>
        </w:rPr>
        <w:t xml:space="preserve">14. Success Metrics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3550"/>
        <w:gridCol w:w="3300"/>
      </w:tblGrid>
      <w:tr>
        <w:trPr>
          <w:tblHeader/>
        </w:trPr>
        <w:tc>
          <w:tcPr>
            <w:tcW w:type="dxa" w:w="250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Metric</w:t>
            </w:r>
          </w:p>
        </w:tc>
        <w:tc>
          <w:tcPr>
            <w:tcW w:type="dxa" w:w="355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Target</w:t>
            </w:r>
          </w:p>
        </w:tc>
        <w:tc>
          <w:tcPr>
            <w:tcW w:type="dxa" w:w="330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Measurement</w:t>
            </w:r>
          </w:p>
        </w:tc>
      </w:tr>
      <w:tr>
        <w:tc>
          <w:tcPr>
            <w:tcW w:type="dxa" w:w="25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Migration data fidelity</w:t>
            </w:r>
          </w:p>
        </w:tc>
        <w:tc>
          <w:tcPr>
            <w:tcW w:type="dxa" w:w="35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100% reconciled (counts + checksums + sampled deep compare) per wave</w:t>
            </w:r>
          </w:p>
        </w:tc>
        <w:tc>
          <w:tcPr>
            <w:tcW w:type="dxa" w:w="33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Migration reconciliation reports</w:t>
            </w:r>
          </w:p>
        </w:tc>
      </w:tr>
      <w:tr>
        <w:tc>
          <w:tcPr>
            <w:tcW w:type="dxa" w:w="25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Production cutover date</w:t>
            </w:r>
          </w:p>
        </w:tc>
        <w:tc>
          <w:tcPr>
            <w:tcW w:type="dxa" w:w="35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On or before Q3 2028</w:t>
            </w:r>
          </w:p>
        </w:tc>
        <w:tc>
          <w:tcPr>
            <w:tcW w:type="dxa" w:w="33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Program milestone tracking</w:t>
            </w:r>
          </w:p>
        </w:tc>
      </w:tr>
      <w:tr>
        <w:tc>
          <w:tcPr>
            <w:tcW w:type="dxa" w:w="25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Performance vs. current Jira DC</w:t>
            </w:r>
          </w:p>
        </w:tc>
        <w:tc>
          <w:tcPr>
            <w:tcW w:type="dxa" w:w="35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Meets or exceeds defined p95 latency budgets at peak concurrency</w:t>
            </w:r>
          </w:p>
        </w:tc>
        <w:tc>
          <w:tcPr>
            <w:tcW w:type="dxa" w:w="33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CI performance benchmarks + production monitoring</w:t>
            </w:r>
          </w:p>
        </w:tc>
      </w:tr>
      <w:tr>
        <w:tc>
          <w:tcPr>
            <w:tcW w:type="dxa" w:w="25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Platform uptime</w:t>
            </w:r>
          </w:p>
        </w:tc>
        <w:tc>
          <w:tcPr>
            <w:tcW w:type="dxa" w:w="35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 99.9% during business hours post-launch</w:t>
            </w:r>
          </w:p>
        </w:tc>
        <w:tc>
          <w:tcPr>
            <w:tcW w:type="dxa" w:w="33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Observability / SLO dashboards</w:t>
            </w:r>
          </w:p>
        </w:tc>
      </w:tr>
      <w:tr>
        <w:tc>
          <w:tcPr>
            <w:tcW w:type="dxa" w:w="25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DR recovery time</w:t>
            </w:r>
          </w:p>
        </w:tc>
        <w:tc>
          <w:tcPr>
            <w:tcW w:type="dxa" w:w="35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RTO ≤ 1 hour</w:t>
            </w:r>
          </w:p>
        </w:tc>
        <w:tc>
          <w:tcPr>
            <w:tcW w:type="dxa" w:w="33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Quarterly failover exercises</w:t>
            </w:r>
          </w:p>
        </w:tc>
      </w:tr>
      <w:tr>
        <w:tc>
          <w:tcPr>
            <w:tcW w:type="dxa" w:w="25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User adoption</w:t>
            </w:r>
          </w:p>
        </w:tc>
        <w:tc>
          <w:tcPr>
            <w:tcW w:type="dxa" w:w="35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 95% of active Jira DC users migrated and active in Strand within 90 days of cutover</w:t>
            </w:r>
          </w:p>
        </w:tc>
        <w:tc>
          <w:tcPr>
            <w:tcW w:type="dxa" w:w="33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Platform login/activity analytics</w:t>
            </w:r>
          </w:p>
        </w:tc>
      </w:tr>
      <w:tr>
        <w:tc>
          <w:tcPr>
            <w:tcW w:type="dxa" w:w="25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AI governance compliance</w:t>
            </w:r>
          </w:p>
        </w:tc>
        <w:tc>
          <w:tcPr>
            <w:tcW w:type="dxa" w:w="35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100% of AI interactions logged and attributable; zero unauthorized data-exposure incidents</w:t>
            </w:r>
          </w:p>
        </w:tc>
        <w:tc>
          <w:tcPr>
            <w:tcW w:type="dxa" w:w="33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Audit log review</w:t>
            </w:r>
          </w:p>
        </w:tc>
      </w:tr>
      <w:tr>
        <w:tc>
          <w:tcPr>
            <w:tcW w:type="dxa" w:w="25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Admin toil reduction</w:t>
            </w:r>
          </w:p>
        </w:tc>
        <w:tc>
          <w:tcPr>
            <w:tcW w:type="dxa" w:w="35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Measurable reduction in platform admin support ticket volume vs. Jira DC baseline</w:t>
            </w:r>
          </w:p>
        </w:tc>
        <w:tc>
          <w:tcPr>
            <w:tcW w:type="dxa" w:w="33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Admin ticket tracking, baseline vs. post-launch</w:t>
            </w:r>
          </w:p>
        </w:tc>
      </w:tr>
      <w:tr>
        <w:tc>
          <w:tcPr>
            <w:tcW w:type="dxa" w:w="25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Add-on ecosystem adoption</w:t>
            </w:r>
          </w:p>
        </w:tc>
        <w:tc>
          <w:tcPr>
            <w:tcW w:type="dxa" w:w="35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 5 internally-built add-ons published within 6 months of marketplace launch</w:t>
            </w:r>
          </w:p>
        </w:tc>
        <w:tc>
          <w:tcPr>
            <w:tcW w:type="dxa" w:w="33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Marketplace catalog analytics</w:t>
            </w:r>
          </w:p>
        </w:tc>
      </w:tr>
      <w:tr>
        <w:tc>
          <w:tcPr>
            <w:tcW w:type="dxa" w:w="25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New-node operational time</w:t>
            </w:r>
          </w:p>
        </w:tc>
        <w:tc>
          <w:tcPr>
            <w:tcW w:type="dxa" w:w="35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New application node fully serving traffic without index-copy delay</w:t>
            </w:r>
          </w:p>
        </w:tc>
        <w:tc>
          <w:tcPr>
            <w:tcW w:type="dxa" w:w="33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Deployment telemetry</w:t>
            </w:r>
          </w:p>
        </w:tc>
      </w:tr>
    </w:tbl>
    <w:p>
      <w:r>
        <w:br w:type="page"/>
      </w:r>
    </w:p>
    <w:p>
      <w:pPr>
        <w:pStyle w:val="Heading1"/>
        <w:pBdr>
          <w:bottom w:val="single" w:color="006044" w:sz="6" w:space="4"/>
        </w:pBdr>
        <w:spacing w:after="160" w:before="420"/>
      </w:pPr>
      <w:r>
        <w:rPr>
          <w:b/>
          <w:bCs/>
          <w:color w:val="006044"/>
          <w:sz w:val="30"/>
          <w:szCs w:val="30"/>
        </w:rPr>
        <w:t xml:space="preserve">Appendix: Glossary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Term</w:t>
            </w:r>
          </w:p>
        </w:tc>
        <w:tc>
          <w:tcPr>
            <w:tcW w:type="dxa" w:w="7150"/>
            <w:tcBorders>
              <w:top w:val="single" w:color="D9D6D2" w:sz="4"/>
              <w:left w:val="single" w:color="D9D6D2" w:sz="4"/>
              <w:bottom w:val="single" w:color="D9D6D2" w:sz="4"/>
              <w:right w:val="single" w:color="D9D6D2" w:sz="4"/>
            </w:tcBorders>
            <w:shd w:fill="006044" w:val="clear"/>
            <w:tcMar>
              <w:top w:type="dxa" w:w="80"/>
              <w:left w:type="dxa" w:w="100"/>
              <w:bottom w:type="dxa" w:w="80"/>
              <w:right w:type="dxa" w:w="100"/>
            </w:tcMar>
            <w:vAlign w:val="center"/>
          </w:tcPr>
          <w:p>
            <w:r>
              <w:rPr>
                <w:b/>
                <w:bCs/>
                <w:color w:val="FFFFFF"/>
                <w:sz w:val="19"/>
                <w:szCs w:val="19"/>
              </w:rPr>
              <w:t xml:space="preserve">Definition</w:t>
            </w:r>
          </w:p>
        </w:tc>
      </w:tr>
      <w:tr>
        <w:tc>
          <w:tcPr>
            <w:tcW w:type="dxa" w:w="22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Strand</w:t>
            </w:r>
          </w:p>
        </w:tc>
        <w:tc>
          <w:tcPr>
            <w:tcW w:type="dxa" w:w="71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The product name for this platform</w:t>
            </w:r>
          </w:p>
        </w:tc>
      </w:tr>
      <w:tr>
        <w:tc>
          <w:tcPr>
            <w:tcW w:type="dxa" w:w="22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Citadel Architecture</w:t>
            </w:r>
          </w:p>
        </w:tc>
        <w:tc>
          <w:tcPr>
            <w:tcW w:type="dxa" w:w="71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A modular monolith core with deliberately extracted satellite services for asymmetric workloads (search, notifications, automation sandbox, attachments)</w:t>
            </w:r>
          </w:p>
        </w:tc>
      </w:tr>
      <w:tr>
        <w:tc>
          <w:tcPr>
            <w:tcW w:type="dxa" w:w="22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Domain Event Log</w:t>
            </w:r>
          </w:p>
        </w:tc>
        <w:tc>
          <w:tcPr>
            <w:tcW w:type="dxa" w:w="71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The immutable, ordered, hash-chained record of every state change, driving search, notifications, automation, audit, and AI context</w:t>
            </w:r>
          </w:p>
        </w:tc>
      </w:tr>
      <w:tr>
        <w:tc>
          <w:tcPr>
            <w:tcW w:type="dxa" w:w="22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Assist</w:t>
            </w:r>
          </w:p>
        </w:tc>
        <w:tc>
          <w:tcPr>
            <w:tcW w:type="dxa" w:w="71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The branded name for Strand's AI-enhanced feature layer, governed per §7</w:t>
            </w:r>
          </w:p>
        </w:tc>
      </w:tr>
      <w:tr>
        <w:tc>
          <w:tcPr>
            <w:tcW w:type="dxa" w:w="22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WORM</w:t>
            </w:r>
          </w:p>
        </w:tc>
        <w:tc>
          <w:tcPr>
            <w:tcW w:type="dxa" w:w="71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Write Once, Read Many — the immutable storage model used for the audit tier</w:t>
            </w:r>
          </w:p>
        </w:tc>
      </w:tr>
      <w:tr>
        <w:tc>
          <w:tcPr>
            <w:tcW w:type="dxa" w:w="22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Class A / Class B migration</w:t>
            </w:r>
          </w:p>
        </w:tc>
        <w:tc>
          <w:tcPr>
            <w:tcW w:type="dxa" w:w="71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Absolute data fidelity (Class A) vs. semantic configuration fidelity (Class B) — see §6.1</w:t>
            </w:r>
          </w:p>
        </w:tc>
      </w:tr>
      <w:tr>
        <w:tc>
          <w:tcPr>
            <w:tcW w:type="dxa" w:w="22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ADR</w:t>
            </w:r>
          </w:p>
        </w:tc>
        <w:tc>
          <w:tcPr>
            <w:tcW w:type="dxa" w:w="71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Architecture Decision Record — the program's format for documenting significant one-way-door technical decisions</w:t>
            </w:r>
          </w:p>
        </w:tc>
      </w:tr>
      <w:tr>
        <w:tc>
          <w:tcPr>
            <w:tcW w:type="dxa" w:w="220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RPO / RTO</w:t>
            </w:r>
          </w:p>
        </w:tc>
        <w:tc>
          <w:tcPr>
            <w:tcW w:type="dxa" w:w="7150"/>
            <w:tcBorders>
              <w:top w:val="single" w:color="D9D6D2" w:sz="4"/>
              <w:left w:val="single" w:color="D9D6D2" w:sz="4"/>
              <w:bottom w:val="single" w:color="D9D6D2" w:sz="4"/>
              <w:right w:val="single" w:color="D9D6D2" w:sz="4"/>
            </w:tcBorders>
            <w:shd w:fill="F2F1EF" w:val="clear"/>
            <w:tcMar>
              <w:top w:type="dxa" w:w="80"/>
              <w:left w:type="dxa" w:w="100"/>
              <w:bottom w:type="dxa" w:w="80"/>
              <w:right w:type="dxa" w:w="100"/>
            </w:tcMar>
            <w:vAlign w:val="center"/>
          </w:tcPr>
          <w:p>
            <w:r>
              <w:rPr>
                <w:b w:val="false"/>
                <w:bCs w:val="false"/>
                <w:color w:val="1C1917"/>
                <w:sz w:val="19"/>
                <w:szCs w:val="19"/>
              </w:rPr>
              <w:t xml:space="preserve">Recovery Point Objective / Recovery Time Objective — disaster recovery targets for data loss and downtime</w:t>
            </w:r>
          </w:p>
        </w:tc>
      </w:tr>
      <w:tr>
        <w:tc>
          <w:tcPr>
            <w:tcW w:type="dxa" w:w="220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Tier-0 decision</w:t>
            </w:r>
          </w:p>
        </w:tc>
        <w:tc>
          <w:tcPr>
            <w:tcW w:type="dxa" w:w="7150"/>
            <w:tcBorders>
              <w:top w:val="single" w:color="D9D6D2" w:sz="4"/>
              <w:left w:val="single" w:color="D9D6D2" w:sz="4"/>
              <w:bottom w:val="single" w:color="D9D6D2" w:sz="4"/>
              <w:right w:val="single" w:color="D9D6D2" w:sz="4"/>
            </w:tcBorders>
            <w:tcMar>
              <w:top w:type="dxa" w:w="80"/>
              <w:left w:type="dxa" w:w="100"/>
              <w:bottom w:type="dxa" w:w="80"/>
              <w:right w:type="dxa" w:w="100"/>
            </w:tcMar>
            <w:vAlign w:val="center"/>
          </w:tcPr>
          <w:p>
            <w:r>
              <w:rPr>
                <w:b w:val="false"/>
                <w:bCs w:val="false"/>
                <w:color w:val="1C1917"/>
                <w:sz w:val="19"/>
                <w:szCs w:val="19"/>
              </w:rPr>
              <w:t xml:space="preserve">A near-irreversible (“one-way-door”) decision requiring maximum evaluation rigor before acceptance</w:t>
            </w:r>
          </w:p>
        </w:tc>
      </w:tr>
    </w:tbl>
    <w:p>
      <w:pPr>
        <w:spacing w:after="300"/>
      </w:pPr>
    </w:p>
    <w:p>
      <w:pPr>
        <w:pBdr>
          <w:top w:val="single" w:color="D9D6D2" w:sz="4" w:space="8"/>
        </w:pBdr>
        <w:spacing w:before="200"/>
      </w:pPr>
      <w:r>
        <w:rPr>
          <w:i/>
          <w:iCs/>
          <w:color w:val="78716C"/>
          <w:sz w:val="17"/>
          <w:szCs w:val="17"/>
        </w:rPr>
        <w:t xml:space="preserve">Strand PRD v1.0 — Prepared by Inception Labs for Meridian Capital. Subject to revision pending Product Owner ratification of the configuration-migration approach (§6.1) and completion of discovery data-volume extraction.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8716C"/>
        <w:sz w:val="15"/>
        <w:szCs w:val="15"/>
      </w:rPr>
      <w:t xml:space="preserve">Page </w:t>
    </w:r>
    <w:r>
      <w:rPr>
        <w:color w:val="78716C"/>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8716C"/>
        <w:sz w:val="15"/>
        <w:szCs w:val="15"/>
      </w:rPr>
      <w:t xml:space="preserve">Strand PRD  |  Confidential  |  Inception Labs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9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2026-07-27T20:31:04.721Z</dcterms:created>
  <dcterms:modified xsi:type="dcterms:W3CDTF">2026-07-27T20:31:04.721Z</dcterms:modified>
</cp:coreProperties>
</file>

<file path=docProps/custom.xml><?xml version="1.0" encoding="utf-8"?>
<Properties xmlns="http://schemas.openxmlformats.org/officeDocument/2006/custom-properties" xmlns:vt="http://schemas.openxmlformats.org/officeDocument/2006/docPropsVTypes"/>
</file>