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609"/>
        <w:gridCol w:w="3609"/>
        <w:gridCol w:w="3609"/>
      </w:tblGrid>
      <w:tr>
        <w:trPr>
          <w:trHeight w:hRule="exact" w:val="872"/>
        </w:trPr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20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0"/>
              </w:rPr>
              <w:t xml:space="preserve">Vincent Le Goualher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1426 Concise, CH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Born on 30.04.1990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French citizen with B permit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Category B driving licence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4" w:lineRule="exact" w:before="15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50"/>
              </w:rPr>
              <w:t>Data Engineer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432" w:right="2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9" w:history="1">
                <w:r>
                  <w:rPr>
                    <w:rStyle w:val="Hyperlink"/>
                  </w:rPr>
                  <w:t xml:space="preserve">+41 77 471 07 76 </w:t>
                </w:r>
              </w:hyperlink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0" w:history="1">
                <w:r>
                  <w:rPr>
                    <w:rStyle w:val="Hyperlink"/>
                  </w:rPr>
                  <w:t>vlg.engi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9" w:history="1">
                <w:r>
                  <w:rPr>
                    <w:rStyle w:val="Hyperlink"/>
                  </w:rPr>
                  <w:t>ne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er@gmail.com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blog.vlgdata.io </w:t>
                </w:r>
              </w:hyperlink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2" w:history="1">
                <w:r>
                  <w:rPr>
                    <w:rStyle w:val="Hyperlink"/>
                  </w:rPr>
                  <w:t>github.c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om/datatrigger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3" w:history="1">
                <w:r>
                  <w:rPr>
                    <w:rStyle w:val="Hyperlink"/>
                  </w:rPr>
                  <w:t>l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50D26"/>
                <w:sz w:val="20"/>
              </w:rPr>
              <w:hyperlink r:id="rId12" w:history="1">
                <w:r>
                  <w:rPr>
                    <w:rStyle w:val="Hyperlink"/>
                  </w:rPr>
                  <w:t>inkedin.com/in/vlgdata</w:t>
                </w:r>
              </w:hyperlink>
            </w:r>
          </w:p>
        </w:tc>
      </w:tr>
      <w:tr>
        <w:trPr>
          <w:trHeight w:hRule="exact" w:val="438"/>
        </w:trPr>
        <w:tc>
          <w:tcPr>
            <w:tcW w:type="dxa" w:w="3609"/>
            <w:vMerge/>
            <w:tcBorders/>
          </w:tcPr>
          <w:p/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6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D597F"/>
                <w:sz w:val="24"/>
              </w:rPr>
              <w:t>M. Sc. Data Science, M. Sc. Software Engineering</w:t>
            </w:r>
          </w:p>
        </w:tc>
        <w:tc>
          <w:tcPr>
            <w:tcW w:type="dxa" w:w="36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4" w:lineRule="exact" w:before="58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3D597F"/>
          <w:sz w:val="24"/>
        </w:rPr>
        <w:t>SKILLS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52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Tools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SQL, Python, Unix shell, Git, GitHub, Tableau, Docker, Kubernetes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18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Data Engineering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Data modeling, Data pipelines, ETL, Data Warehousing, Machine Learning, Data Viz</w:t>
      </w:r>
    </w:p>
    <w:p>
      <w:pPr>
        <w:autoSpaceDN w:val="0"/>
        <w:tabs>
          <w:tab w:pos="2196" w:val="left"/>
        </w:tabs>
        <w:autoSpaceDE w:val="0"/>
        <w:widowControl/>
        <w:spacing w:line="278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Big Data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Distributed computing frameworks Apache Spark, Apache Kafka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DevOps - MLOps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CI/CD pipelines, Container deployment, Microservices, Agile (SCRUM), Unit testing, APIs</w:t>
      </w:r>
    </w:p>
    <w:p>
      <w:pPr>
        <w:autoSpaceDN w:val="0"/>
        <w:tabs>
          <w:tab w:pos="2196" w:val="left"/>
        </w:tabs>
        <w:autoSpaceDE w:val="0"/>
        <w:widowControl/>
        <w:spacing w:line="298" w:lineRule="exact" w:before="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Cloud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AWS e.g. IAM, EC2, Glue, S3, ECR, ECS, EventBridge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 GCP e.g. GKE, BigQuery</w:t>
      </w:r>
    </w:p>
    <w:p>
      <w:pPr>
        <w:autoSpaceDN w:val="0"/>
        <w:autoSpaceDE w:val="0"/>
        <w:widowControl/>
        <w:spacing w:line="334" w:lineRule="exact" w:before="40" w:after="10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3D597F"/>
          <w:sz w:val="24"/>
        </w:rPr>
        <w:t>EXPERIENCE</w:t>
      </w:r>
    </w:p>
    <w:p>
      <w:pPr>
        <w:sectPr>
          <w:pgSz w:w="12240" w:h="15840"/>
          <w:pgMar w:top="274" w:right="696" w:bottom="26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42" w:after="0"/>
        <w:ind w:left="4" w:right="3168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Data Engineer </w:t>
      </w:r>
      <w:r>
        <w:br/>
      </w:r>
      <w:r>
        <w:rPr>
          <w:rFonts w:ascii="SourceSansPro" w:hAnsi="SourceSansPro" w:eastAsia="SourceSansPro"/>
          <w:b w:val="0"/>
          <w:i/>
          <w:color w:val="000000"/>
          <w:sz w:val="20"/>
        </w:rPr>
        <w:t>Credit Suisse through Coforge</w:t>
      </w:r>
    </w:p>
    <w:p>
      <w:pPr>
        <w:sectPr>
          <w:type w:val="continuous"/>
          <w:pgSz w:w="12240" w:h="15840"/>
          <w:pgMar w:top="274" w:right="696" w:bottom="266" w:left="716" w:header="720" w:footer="720" w:gutter="0"/>
          <w:cols w:num="2" w:equalWidth="0">
            <w:col w:w="5681" w:space="0"/>
            <w:col w:w="514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42" w:after="70"/>
        <w:ind w:left="3272" w:right="0" w:firstLine="28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10.2022 — Present </w:t>
      </w:r>
      <w:r>
        <w:br/>
      </w:r>
      <w:r>
        <w:rPr>
          <w:rFonts w:ascii="SourceSansPro" w:hAnsi="SourceSansPro" w:eastAsia="SourceSansPro"/>
          <w:b w:val="0"/>
          <w:i/>
          <w:color w:val="000000"/>
          <w:sz w:val="20"/>
        </w:rPr>
        <w:t>Lausanne, Switzerland</w:t>
      </w:r>
    </w:p>
    <w:p>
      <w:pPr>
        <w:sectPr>
          <w:type w:val="nextColumn"/>
          <w:pgSz w:w="12240" w:h="15840"/>
          <w:pgMar w:top="274" w:right="696" w:bottom="266" w:left="716" w:header="720" w:footer="720" w:gutter="0"/>
          <w:cols w:num="2" w:equalWidth="0">
            <w:col w:w="5681" w:space="0"/>
            <w:col w:w="51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38" w:after="0"/>
        <w:ind w:left="4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Developed, maintained and supported data ingestion pipelines in test and production environments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Collaborated closely with project stakeholders to clarify business requirements and address data engineering questions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Monitored production batches, incident analysis and dispatching, provided second- and third-level support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Contributed to the development of the internal ETL tool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Installed, calibrated and monitored data quality controls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Provided obfuscated data into test environments for data scientists</w:t>
      </w:r>
    </w:p>
    <w:p>
      <w:pPr>
        <w:autoSpaceDN w:val="0"/>
        <w:tabs>
          <w:tab w:pos="8954" w:val="left"/>
          <w:tab w:pos="9226" w:val="left"/>
        </w:tabs>
        <w:autoSpaceDE w:val="0"/>
        <w:widowControl/>
        <w:spacing w:line="240" w:lineRule="exact" w:before="234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Data Engineer </w:t>
      </w:r>
      <w:r>
        <w:tab/>
      </w:r>
      <w:r>
        <w:tab/>
      </w: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04.2021 — 07.2022 </w:t>
      </w:r>
      <w:r>
        <w:rPr>
          <w:rFonts w:ascii="SourceSansPro" w:hAnsi="SourceSansPro" w:eastAsia="SourceSansPro"/>
          <w:b w:val="0"/>
          <w:i/>
          <w:color w:val="000000"/>
          <w:sz w:val="20"/>
        </w:rPr>
        <w:t xml:space="preserve">Logitech </w:t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20"/>
        </w:rPr>
        <w:t>Lausanne, Switzerland</w:t>
      </w:r>
    </w:p>
    <w:p>
      <w:pPr>
        <w:autoSpaceDN w:val="0"/>
        <w:tabs>
          <w:tab w:pos="204" w:val="left"/>
        </w:tabs>
        <w:autoSpaceDE w:val="0"/>
        <w:widowControl/>
        <w:spacing w:line="282" w:lineRule="exact" w:before="178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</w:t>
      </w:r>
      <w:r>
        <w:rPr>
          <w:rFonts w:ascii="SourceSansPro" w:hAnsi="SourceSansPro" w:eastAsia="SourceSansPro"/>
          <w:b w:val="0"/>
          <w:i/>
          <w:color w:val="000000"/>
          <w:sz w:val="20"/>
        </w:rPr>
        <w:t xml:space="preserve"> Voice of Customer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 project: Built an ETL workflow (vendor API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→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Snowflake) to integrate Logitech’s online store customer reviews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in the data warehouse, re-deployed project with Docker and Kubernetes in DEV/UAT/PROD environments for safety and maintain-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ability, updated Tableau dashboard and Snowflake data sources with sustainability data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Implemented a CI/CD deployment pipeline for Logitech’s data science models, orchestrating Docker container runs on AWS cloud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Participated in technical recruitment interviews, hosted knowledge-sharing sessions on technologies like Docker, GitHub Actions</w:t>
      </w:r>
    </w:p>
    <w:p>
      <w:pPr>
        <w:autoSpaceDN w:val="0"/>
        <w:tabs>
          <w:tab w:pos="9226" w:val="left"/>
          <w:tab w:pos="9758" w:val="left"/>
        </w:tabs>
        <w:autoSpaceDE w:val="0"/>
        <w:widowControl/>
        <w:spacing w:line="240" w:lineRule="exact" w:before="234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Data Engineer </w:t>
      </w:r>
      <w:r>
        <w:tab/>
      </w: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06.2019 — 03.2021 </w:t>
      </w:r>
      <w:r>
        <w:rPr>
          <w:rFonts w:ascii="SourceSansPro" w:hAnsi="SourceSansPro" w:eastAsia="SourceSansPro"/>
          <w:b w:val="0"/>
          <w:i/>
          <w:color w:val="000000"/>
          <w:sz w:val="20"/>
        </w:rPr>
        <w:t xml:space="preserve">Crédit Mutuel Leasing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20"/>
        </w:rPr>
        <w:t>Paris, France</w:t>
      </w:r>
    </w:p>
    <w:p>
      <w:pPr>
        <w:autoSpaceDN w:val="0"/>
        <w:tabs>
          <w:tab w:pos="204" w:val="left"/>
        </w:tabs>
        <w:autoSpaceDE w:val="0"/>
        <w:widowControl/>
        <w:spacing w:line="240" w:lineRule="exact" w:before="108" w:after="36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• Developed the internal forecasting model for the car business (prediction of residual value at end of contract), leading to more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competitive pricing and cost reductions by discontinuing the subscription to external forecasts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Developed data pipelines to centralize business introducers data and feed a rating model downstream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414"/>
        <w:gridCol w:w="5414"/>
      </w:tblGrid>
      <w:tr>
        <w:trPr>
          <w:trHeight w:hRule="exact" w:val="1228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20" w:right="360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0"/>
              </w:rPr>
              <w:t xml:space="preserve">Math Teacher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20"/>
              </w:rPr>
              <w:t>High school/Self-employed</w:t>
            </w:r>
          </w:p>
          <w:p>
            <w:pPr>
              <w:autoSpaceDN w:val="0"/>
              <w:autoSpaceDE w:val="0"/>
              <w:widowControl/>
              <w:spacing w:line="240" w:lineRule="exact" w:before="148" w:after="0"/>
              <w:ind w:left="20" w:right="3312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0"/>
              </w:rPr>
              <w:t xml:space="preserve">Software Engineering Intern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20"/>
              </w:rPr>
              <w:t>Hardis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3710" w:right="0" w:hanging="288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0"/>
              </w:rPr>
              <w:t xml:space="preserve">01.2014 — 03.2019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20"/>
              </w:rPr>
              <w:t>France/Vietnam</w:t>
            </w:r>
          </w:p>
          <w:p>
            <w:pPr>
              <w:autoSpaceDN w:val="0"/>
              <w:autoSpaceDE w:val="0"/>
              <w:widowControl/>
              <w:spacing w:line="240" w:lineRule="exact" w:before="148" w:after="0"/>
              <w:ind w:left="3790" w:right="0" w:hanging="368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0"/>
              </w:rPr>
              <w:t xml:space="preserve">02.2013 — 08.2013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20"/>
              </w:rPr>
              <w:t>Nantes, France</w:t>
            </w:r>
          </w:p>
        </w:tc>
      </w:tr>
    </w:tbl>
    <w:p>
      <w:pPr>
        <w:autoSpaceDN w:val="0"/>
        <w:autoSpaceDE w:val="0"/>
        <w:widowControl/>
        <w:spacing w:line="292" w:lineRule="exact" w:before="24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0"/>
        </w:rPr>
        <w:t>• Designed and developed the Android blood sugar tracker app</w:t>
      </w:r>
      <w:r>
        <w:rPr>
          <w:rFonts w:ascii="SourceSansPro" w:hAnsi="SourceSansPro" w:eastAsia="SourceSansPro"/>
          <w:b w:val="0"/>
          <w:i w:val="0"/>
          <w:color w:val="000000"/>
          <w:sz w:val="14"/>
        </w:rPr>
        <w:t>©</w:t>
      </w:r>
      <w:r>
        <w:rPr>
          <w:rFonts w:ascii="SourceSansPro" w:hAnsi="SourceSansPro" w:eastAsia="SourceSansPro"/>
          <w:b w:val="0"/>
          <w:i w:val="0"/>
          <w:color w:val="050D26"/>
          <w:sz w:val="20"/>
          <w:u w:val="single"/>
        </w:rPr>
        <w:hyperlink r:id="rId14" w:history="1">
          <w:r>
            <w:rPr>
              <w:rStyle w:val="Hyperlink"/>
            </w:rPr>
            <w:t>MobiDiab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 using a SCRUM agile framework</w:t>
      </w:r>
    </w:p>
    <w:p>
      <w:pPr>
        <w:autoSpaceDN w:val="0"/>
        <w:autoSpaceDE w:val="0"/>
        <w:widowControl/>
        <w:spacing w:line="336" w:lineRule="exact" w:before="168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3D597F"/>
          <w:sz w:val="24"/>
        </w:rPr>
        <w:t>EDUCATION</w:t>
      </w:r>
    </w:p>
    <w:p>
      <w:pPr>
        <w:autoSpaceDN w:val="0"/>
        <w:tabs>
          <w:tab w:pos="9772" w:val="left"/>
        </w:tabs>
        <w:autoSpaceDE w:val="0"/>
        <w:widowControl/>
        <w:spacing w:line="278" w:lineRule="exact" w:before="104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>Master in Statistics &amp; Data Science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,</w:t>
      </w:r>
      <w:r>
        <w:rPr>
          <w:rFonts w:ascii="SourceSansPro" w:hAnsi="SourceSansPro" w:eastAsia="SourceSansPro"/>
          <w:b w:val="0"/>
          <w:i/>
          <w:color w:val="000000"/>
          <w:sz w:val="20"/>
        </w:rPr>
        <w:t xml:space="preserve"> Paris Institute of Statistics, Sorbonne University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2019 — 2020</w:t>
      </w:r>
    </w:p>
    <w:p>
      <w:pPr>
        <w:autoSpaceDN w:val="0"/>
        <w:tabs>
          <w:tab w:pos="9772" w:val="left"/>
        </w:tabs>
        <w:autoSpaceDE w:val="0"/>
        <w:widowControl/>
        <w:spacing w:line="278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>Master in Software Engineering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,</w:t>
      </w:r>
      <w:r>
        <w:rPr>
          <w:rFonts w:ascii="SourceSansPro" w:hAnsi="SourceSansPro" w:eastAsia="SourceSansPro"/>
          <w:b w:val="0"/>
          <w:i/>
          <w:color w:val="000000"/>
          <w:sz w:val="20"/>
        </w:rPr>
        <w:t xml:space="preserve"> Institut Mines-Télécom, France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2008 — 2013</w:t>
      </w:r>
    </w:p>
    <w:p>
      <w:pPr>
        <w:autoSpaceDN w:val="0"/>
        <w:autoSpaceDE w:val="0"/>
        <w:widowControl/>
        <w:spacing w:line="334" w:lineRule="exact" w:before="180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3D597F"/>
          <w:sz w:val="24"/>
        </w:rPr>
        <w:t>LANGUAGES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52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French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Native speaker</w:t>
      </w:r>
    </w:p>
    <w:p>
      <w:pPr>
        <w:autoSpaceDN w:val="0"/>
        <w:tabs>
          <w:tab w:pos="2196" w:val="left"/>
        </w:tabs>
        <w:autoSpaceDE w:val="0"/>
        <w:widowControl/>
        <w:spacing w:line="278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English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Full professional proficiency — TOEIC: 990/990</w:t>
      </w:r>
    </w:p>
    <w:p>
      <w:pPr>
        <w:autoSpaceDN w:val="0"/>
        <w:autoSpaceDE w:val="0"/>
        <w:widowControl/>
        <w:spacing w:line="334" w:lineRule="exact" w:before="150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3D597F"/>
          <w:sz w:val="24"/>
        </w:rPr>
        <w:t>REFERENCES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52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Mathieu Bolletta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Head of Data Engineering at Credit Suisse</w:t>
      </w:r>
    </w:p>
    <w:p>
      <w:pPr>
        <w:autoSpaceDN w:val="0"/>
        <w:tabs>
          <w:tab w:pos="2196" w:val="left"/>
        </w:tabs>
        <w:autoSpaceDE w:val="0"/>
        <w:widowControl/>
        <w:spacing w:line="278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Denis Zuba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Head of Data Science &amp; Advanced Analytics at Logitech</w:t>
      </w:r>
    </w:p>
    <w:p>
      <w:pPr>
        <w:autoSpaceDN w:val="0"/>
        <w:tabs>
          <w:tab w:pos="2196" w:val="left"/>
        </w:tabs>
        <w:autoSpaceDE w:val="0"/>
        <w:widowControl/>
        <w:spacing w:line="280" w:lineRule="exact" w:before="2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0"/>
        </w:rPr>
        <w:t xml:space="preserve">Paul Coudret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Head of Data Engineering &amp; Analytics at Crédit Mutuel Leasing</w:t>
      </w:r>
    </w:p>
    <w:sectPr w:rsidR="00FC693F" w:rsidRPr="0006063C" w:rsidSect="00034616">
      <w:type w:val="continuous"/>
      <w:pgSz w:w="12240" w:h="15840"/>
      <w:pgMar w:top="274" w:right="696" w:bottom="26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+41 77 471 07 76" TargetMode="External"/><Relationship Id="rId10" Type="http://schemas.openxmlformats.org/officeDocument/2006/relationships/hyperlink" Target="mailto:vlg.engineer@gmail.com" TargetMode="External"/><Relationship Id="rId11" Type="http://schemas.openxmlformats.org/officeDocument/2006/relationships/hyperlink" Target="https://blog.vlgdata.io" TargetMode="External"/><Relationship Id="rId12" Type="http://schemas.openxmlformats.org/officeDocument/2006/relationships/hyperlink" Target="https://github.com/datatrigger" TargetMode="External"/><Relationship Id="rId13" Type="http://schemas.openxmlformats.org/officeDocument/2006/relationships/hyperlink" Target="https://www.linkedin.com/in/vlgdata" TargetMode="External"/><Relationship Id="rId14" Type="http://schemas.openxmlformats.org/officeDocument/2006/relationships/hyperlink" Target="https://www.hardis-group.com/en/news/mobidiab-free-mobile-app-monitoring-diab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