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4" w:lineRule="exact" w:before="0" w:after="0"/>
        <w:ind w:left="0" w:right="0"/>
      </w:pPr>
    </w:p>
    <w:p>
      <w:pPr>
        <w:autoSpaceDN w:val="0"/>
        <w:tabs>
          <w:tab w:pos="4006" w:val="left"/>
        </w:tabs>
        <w:autoSpaceDE w:val="0"/>
        <w:widowControl/>
        <w:spacing w:line="270" w:lineRule="exact" w:before="456" w:after="0"/>
        <w:ind w:left="3018" w:right="3024" w:firstLine="0"/>
        <w:jc w:val="left"/>
      </w:pPr>
      <w:r>
        <w:rPr>
          <w:rFonts w:ascii="LMSans10" w:hAnsi="LMSans10" w:eastAsia="LMSans10"/>
          <w:b/>
          <w:i w:val="0"/>
          <w:color w:val="3872B2"/>
          <w:sz w:val="50"/>
        </w:rPr>
        <w:t>Sudarshan Bab</w:t>
      </w:r>
      <w:r>
        <w:rPr>
          <w:rFonts w:ascii="LMSans10" w:hAnsi="LMSans10" w:eastAsia="LMSans10"/>
          <w:b/>
          <w:i w:val="0"/>
          <w:color w:val="3872B2"/>
          <w:sz w:val="50"/>
        </w:rPr>
        <w:hyperlink r:id="rId9" w:history="1">
          <w:r>
            <w:rPr>
              <w:rStyle w:val="Hyperlink"/>
            </w:rPr>
            <w:t>u</w:t>
          </w:r>
        </w:hyperlink>
      </w:r>
      <w:r>
        <w:rPr>
          <w:rFonts w:ascii="LMSans17" w:hAnsi="LMSans17" w:eastAsia="LMSans17"/>
          <w:b w:val="0"/>
          <w:i w:val="0"/>
          <w:color w:val="878787"/>
          <w:sz w:val="50"/>
        </w:rPr>
        <w:hyperlink r:id="rId9" w:history="1">
          <w:r>
            <w:rPr>
              <w:rStyle w:val="Hyperlink"/>
            </w:rPr>
            <w:t xml:space="preserve"> | </w:t>
          </w:r>
        </w:hyperlink>
      </w:r>
      <w:r>
        <w:rPr>
          <w:rFonts w:ascii="LMSans17" w:hAnsi="LMSans17" w:eastAsia="LMSans17"/>
          <w:b w:val="0"/>
          <w:i w:val="0"/>
          <w:color w:val="878787"/>
          <w:sz w:val="50"/>
        </w:rPr>
        <w:t xml:space="preserve">CV </w:t>
      </w:r>
      <w:r>
        <w:br/>
      </w:r>
      <w:r>
        <w:tab/>
      </w:r>
      <w:r>
        <w:rPr>
          <w:rFonts w:ascii="LMSans12" w:hAnsi="LMSans12" w:eastAsia="LMSans12"/>
          <w:b w:val="0"/>
          <w:i w:val="0"/>
          <w:color w:val="727272"/>
          <w:sz w:val="24"/>
        </w:rPr>
        <w:t>sudarshan@ttic.edu –</w:t>
      </w:r>
      <w:r>
        <w:rPr>
          <w:rFonts w:ascii="LMSans12" w:hAnsi="LMSans12" w:eastAsia="LMSans12"/>
          <w:b w:val="0"/>
          <w:i w:val="0"/>
          <w:color w:val="727272"/>
          <w:sz w:val="24"/>
        </w:rPr>
        <w:hyperlink r:id="rId9" w:history="1">
          <w:r>
            <w:rPr>
              <w:rStyle w:val="Hyperlink"/>
            </w:rPr>
            <w:t>Website</w:t>
          </w:r>
        </w:hyperlink>
      </w:r>
    </w:p>
    <w:p>
      <w:pPr>
        <w:autoSpaceDN w:val="0"/>
        <w:autoSpaceDE w:val="0"/>
        <w:widowControl/>
        <w:spacing w:line="494" w:lineRule="exact" w:before="34" w:after="56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Research Interests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5404"/>
        <w:gridCol w:w="5404"/>
      </w:tblGrid>
      <w:tr>
        <w:trPr>
          <w:trHeight w:hRule="exact" w:val="70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18" w:after="0"/>
              <w:ind w:left="10" w:right="1152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rFonts w:ascii="LMSans12" w:hAnsi="LMSans12" w:eastAsia="LMSans12"/>
                <w:b w:val="0"/>
                <w:i w:val="0"/>
                <w:color w:val="000000"/>
                <w:sz w:val="24"/>
              </w:rPr>
              <w:t>Meta-Learning</w:t>
            </w:r>
            <w:r>
              <w:br/>
            </w: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rFonts w:ascii="LMSans12" w:hAnsi="LMSans12" w:eastAsia="LMSans12"/>
                <w:b w:val="0"/>
                <w:i w:val="0"/>
                <w:color w:val="000000"/>
                <w:sz w:val="24"/>
              </w:rPr>
              <w:t>Neural Architecture Design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18" w:after="0"/>
              <w:ind w:left="1326" w:right="1584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rFonts w:ascii="LMSans12" w:hAnsi="LMSans12" w:eastAsia="LMSans12"/>
                <w:b w:val="0"/>
                <w:i w:val="0"/>
                <w:color w:val="000000"/>
                <w:sz w:val="24"/>
              </w:rPr>
              <w:t>Few-shot Learning</w:t>
            </w:r>
            <w:r>
              <w:br/>
            </w: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rFonts w:ascii="LMSans12" w:hAnsi="LMSans12" w:eastAsia="LMSans12"/>
                <w:b w:val="0"/>
                <w:i w:val="0"/>
                <w:color w:val="000000"/>
                <w:sz w:val="24"/>
              </w:rPr>
              <w:t>Deep Learning</w:t>
            </w:r>
          </w:p>
        </w:tc>
      </w:tr>
    </w:tbl>
    <w:p>
      <w:pPr>
        <w:autoSpaceDN w:val="0"/>
        <w:autoSpaceDE w:val="0"/>
        <w:widowControl/>
        <w:spacing w:line="492" w:lineRule="exact" w:before="4" w:after="52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4"/>
        <w:gridCol w:w="5404"/>
      </w:tblGrid>
      <w:tr>
        <w:trPr>
          <w:trHeight w:hRule="exact" w:val="1386"/>
        </w:trPr>
        <w:tc>
          <w:tcPr>
            <w:tcW w:type="dxa" w:w="78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08" w:after="0"/>
              <w:ind w:left="0" w:right="432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Toyota Technological Institute </w:t>
            </w: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at University of Chic</w:t>
                </w:r>
              </w:hyperlink>
            </w: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ago </w:t>
            </w:r>
            <w:r>
              <w:br/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>PhD., Computer Science, Advisor:</w:t>
            </w: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Prof. Michael Maire</w:t>
                </w:r>
              </w:hyperlink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>, CGPA: 3.90/4.0</w:t>
            </w:r>
          </w:p>
          <w:p>
            <w:pPr>
              <w:autoSpaceDN w:val="0"/>
              <w:autoSpaceDE w:val="0"/>
              <w:widowControl/>
              <w:spacing w:line="292" w:lineRule="exact" w:before="54" w:after="0"/>
              <w:ind w:left="0" w:right="1728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Toyota Technological Institute </w:t>
            </w: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at University of Chic</w:t>
                </w:r>
              </w:hyperlink>
            </w: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ago </w:t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>MS., Computer Science, CGPA: 3.83/4.0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528" w:right="0" w:firstLine="184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Oct 2019 – Present </w:t>
            </w: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Oct 2017 – Oct 2019</w:t>
            </w:r>
          </w:p>
        </w:tc>
      </w:tr>
    </w:tbl>
    <w:p>
      <w:pPr>
        <w:autoSpaceDN w:val="0"/>
        <w:autoSpaceDE w:val="0"/>
        <w:widowControl/>
        <w:spacing w:line="492" w:lineRule="exact" w:before="70" w:after="52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Publications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4"/>
        <w:gridCol w:w="5404"/>
      </w:tblGrid>
      <w:tr>
        <w:trPr>
          <w:trHeight w:hRule="exact" w:val="1362"/>
        </w:trPr>
        <w:tc>
          <w:tcPr>
            <w:tcW w:type="dxa" w:w="82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4" w:after="0"/>
              <w:ind w:left="0" w:right="864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Online Meta-Learning via Learning with Layer-Distributed Memory </w:t>
            </w: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t>Sudarshan Babu</w:t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>, Pedro Savarese, Michael Maire</w:t>
            </w:r>
          </w:p>
          <w:p>
            <w:pPr>
              <w:autoSpaceDN w:val="0"/>
              <w:autoSpaceDE w:val="0"/>
              <w:widowControl/>
              <w:spacing w:line="290" w:lineRule="exact" w:before="56" w:after="0"/>
              <w:ind w:left="0" w:right="1440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Domain-independent Dominance of Adaptive Methods </w:t>
            </w:r>
            <w:r>
              <w:br/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>Pedro Savarese, David McAllester,</w:t>
            </w: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t xml:space="preserve"> Sudarshan Babu</w:t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>, Michael Maire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6" w:lineRule="exact" w:before="0" w:after="0"/>
              <w:ind w:left="1216" w:right="0" w:hanging="248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NeurIPS 2021 </w:t>
            </w: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CVPR 2021</w:t>
            </w:r>
          </w:p>
        </w:tc>
      </w:tr>
    </w:tbl>
    <w:p>
      <w:pPr>
        <w:autoSpaceDN w:val="0"/>
        <w:autoSpaceDE w:val="0"/>
        <w:widowControl/>
        <w:spacing w:line="494" w:lineRule="exact" w:before="36" w:after="0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Patents</w:t>
      </w:r>
    </w:p>
    <w:p>
      <w:pPr>
        <w:autoSpaceDN w:val="0"/>
        <w:autoSpaceDE w:val="0"/>
        <w:widowControl/>
        <w:spacing w:line="270" w:lineRule="exact" w:before="178" w:after="0"/>
        <w:ind w:left="0" w:right="144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Method and System for Efficient Clustering of Combined Numeric and Qualitative Data Records </w:t>
      </w:r>
      <w:r>
        <w:rPr>
          <w:rFonts w:ascii="LMSans12" w:hAnsi="LMSans12" w:eastAsia="LMSans12"/>
          <w:b w:val="0"/>
          <w:i/>
          <w:color w:val="000000"/>
          <w:sz w:val="24"/>
        </w:rPr>
        <w:t>Saurabh Agarwal, Aravindakshan Babu,</w:t>
      </w:r>
      <w:r>
        <w:rPr>
          <w:rFonts w:ascii="LMSans10" w:hAnsi="LMSans10" w:eastAsia="LMSans10"/>
          <w:b/>
          <w:i/>
          <w:color w:val="000000"/>
          <w:sz w:val="24"/>
        </w:rPr>
        <w:t xml:space="preserve"> Sudarshan Babu</w:t>
      </w:r>
      <w:r>
        <w:rPr>
          <w:rFonts w:ascii="LMSans12" w:hAnsi="LMSans12" w:eastAsia="LMSans12"/>
          <w:b w:val="0"/>
          <w:i/>
          <w:color w:val="000000"/>
          <w:sz w:val="24"/>
        </w:rPr>
        <w:t xml:space="preserve">, Hariharan Chandrasekaran </w:t>
      </w:r>
      <w:r>
        <w:br/>
      </w:r>
      <w:r>
        <w:rPr>
          <w:rFonts w:ascii="LMSans10" w:hAnsi="LMSans10" w:eastAsia="LMSans10"/>
          <w:b/>
          <w:i w:val="0"/>
          <w:color w:val="000000"/>
          <w:sz w:val="22"/>
        </w:rPr>
        <w:t>US Patent No. 10,846,311, issued Nov 24, 2020.</w:t>
      </w: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2"/>
        </w:rPr>
        <w:t>US Patent No. 10,747,785, issued Aug 18, 2020.</w:t>
      </w:r>
    </w:p>
    <w:p>
      <w:pPr>
        <w:autoSpaceDN w:val="0"/>
        <w:autoSpaceDE w:val="0"/>
        <w:widowControl/>
        <w:spacing w:line="492" w:lineRule="exact" w:before="0" w:after="0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Academic Research Experience</w:t>
      </w:r>
    </w:p>
    <w:p>
      <w:pPr>
        <w:autoSpaceDN w:val="0"/>
        <w:tabs>
          <w:tab w:pos="9920" w:val="left"/>
        </w:tabs>
        <w:autoSpaceDE w:val="0"/>
        <w:widowControl/>
        <w:spacing w:line="290" w:lineRule="exact" w:before="160" w:after="0"/>
        <w:ind w:left="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HyperNetwork Design and its Applications to Cross Domain Transfer Learning </w:t>
      </w:r>
      <w:r>
        <w:rPr>
          <w:rFonts w:ascii="LMSans10" w:hAnsi="LMSans10" w:eastAsia="LMSans10"/>
          <w:b/>
          <w:i w:val="0"/>
          <w:color w:val="000000"/>
          <w:sz w:val="24"/>
        </w:rPr>
        <w:t xml:space="preserve">Present </w:t>
      </w:r>
      <w:r>
        <w:rPr>
          <w:rFonts w:ascii="LMSans12" w:hAnsi="LMSans12" w:eastAsia="LMSans12"/>
          <w:b w:val="0"/>
          <w:i/>
          <w:color w:val="000000"/>
          <w:sz w:val="24"/>
        </w:rPr>
        <w:t>Improve HyperNetwork design; demonstrate its efficacy in cross domain transfer learning.</w:t>
      </w:r>
    </w:p>
    <w:p>
      <w:pPr>
        <w:autoSpaceDN w:val="0"/>
        <w:tabs>
          <w:tab w:pos="8386" w:val="left"/>
        </w:tabs>
        <w:autoSpaceDE w:val="0"/>
        <w:widowControl/>
        <w:spacing w:line="292" w:lineRule="exact" w:before="82" w:after="0"/>
        <w:ind w:left="0" w:right="0" w:firstLine="0"/>
        <w:jc w:val="left"/>
      </w:pPr>
      <w:r>
        <w:rPr>
          <w:rFonts w:ascii="LMSans10" w:hAnsi="LMSans10" w:eastAsia="LMSans10"/>
          <w:b/>
          <w:i w:val="0"/>
          <w:color w:val="000000"/>
          <w:sz w:val="24"/>
        </w:rPr>
        <w:t xml:space="preserve">Partial Meta Training and its Insights </w:t>
      </w:r>
      <w:r>
        <w:tab/>
      </w:r>
      <w:r>
        <w:rPr>
          <w:rFonts w:ascii="LMSans10" w:hAnsi="LMSans10" w:eastAsia="LMSans10"/>
          <w:b/>
          <w:i w:val="0"/>
          <w:color w:val="000000"/>
          <w:sz w:val="24"/>
        </w:rPr>
        <w:t xml:space="preserve">Feb 2021 – July 2021 </w:t>
      </w:r>
      <w:r>
        <w:rPr>
          <w:rFonts w:ascii="LMSans12" w:hAnsi="LMSans12" w:eastAsia="LMSans12"/>
          <w:b w:val="0"/>
          <w:i/>
          <w:color w:val="000000"/>
          <w:sz w:val="24"/>
        </w:rPr>
        <w:t>Demonstrate that under certain conditions MAML exhibits adaptation (contrary to conventional wisdom).</w:t>
      </w:r>
    </w:p>
    <w:p>
      <w:pPr>
        <w:autoSpaceDN w:val="0"/>
        <w:autoSpaceDE w:val="0"/>
        <w:widowControl/>
        <w:spacing w:line="492" w:lineRule="exact" w:before="74" w:after="22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Industry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4"/>
        <w:gridCol w:w="5404"/>
      </w:tblGrid>
      <w:tr>
        <w:trPr>
          <w:trHeight w:hRule="exact" w:val="966"/>
        </w:trPr>
        <w:tc>
          <w:tcPr>
            <w:tcW w:type="dxa" w:w="7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90" w:after="0"/>
              <w:ind w:left="0" w:right="864" w:firstLine="0"/>
              <w:jc w:val="lef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 xml:space="preserve">Mad Street Den </w:t>
            </w:r>
            <w:r>
              <w:br/>
            </w:r>
            <w:r>
              <w:rPr>
                <w:rFonts w:ascii="LMSans12" w:hAnsi="LMSans12" w:eastAsia="LMSans12"/>
                <w:b w:val="0"/>
                <w:i/>
                <w:color w:val="000000"/>
                <w:sz w:val="24"/>
              </w:rPr>
              <w:t xml:space="preserve">Data Engineer </w:t>
            </w:r>
            <w:r>
              <w:br/>
            </w:r>
            <w:r>
              <w:rPr>
                <w:rFonts w:ascii="LMSans10" w:hAnsi="LMSans10" w:eastAsia="LMSans10"/>
                <w:b w:val="0"/>
                <w:i w:val="0"/>
                <w:color w:val="000000"/>
                <w:sz w:val="22"/>
              </w:rPr>
              <w:t>Recommendation Engines, Product Similarity for Online Catalogs, etc.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20" w:after="0"/>
              <w:ind w:left="0" w:right="10" w:firstLine="0"/>
              <w:jc w:val="right"/>
            </w:pPr>
            <w:r>
              <w:rPr>
                <w:rFonts w:ascii="LMSans10" w:hAnsi="LMSans10" w:eastAsia="LMSans10"/>
                <w:b/>
                <w:i w:val="0"/>
                <w:color w:val="000000"/>
                <w:sz w:val="24"/>
              </w:rPr>
              <w:t>Feb 2016 – Mar 2017</w:t>
            </w:r>
          </w:p>
        </w:tc>
      </w:tr>
    </w:tbl>
    <w:p>
      <w:pPr>
        <w:autoSpaceDN w:val="0"/>
        <w:autoSpaceDE w:val="0"/>
        <w:widowControl/>
        <w:spacing w:line="494" w:lineRule="exact" w:before="78" w:after="116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Relevant Coursework</w:t>
      </w:r>
    </w:p>
    <w:p>
      <w:pPr>
        <w:sectPr>
          <w:pgSz w:w="11906" w:h="16838"/>
          <w:pgMar w:top="114" w:right="522" w:bottom="322" w:left="5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0" w:lineRule="exact" w:before="58" w:after="0"/>
        <w:ind w:left="14" w:right="1008" w:firstLine="0"/>
        <w:jc w:val="left"/>
      </w:pP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2" w:hAnsi="LMSans12" w:eastAsia="LMSans12"/>
          <w:b w:val="0"/>
          <w:i w:val="0"/>
          <w:color w:val="000000"/>
          <w:sz w:val="24"/>
        </w:rPr>
        <w:t>Statistical Machine Learning (</w:t>
      </w:r>
      <w:r>
        <w:rPr>
          <w:rFonts w:ascii="LMSans10" w:hAnsi="LMSans10" w:eastAsia="LMSans10"/>
          <w:b/>
          <w:i w:val="0"/>
          <w:color w:val="000000"/>
          <w:sz w:val="24"/>
        </w:rPr>
        <w:t>A</w:t>
      </w:r>
      <w:r>
        <w:rPr>
          <w:rFonts w:ascii="LMSans12" w:hAnsi="LMSans12" w:eastAsia="LMSans12"/>
          <w:b w:val="0"/>
          <w:i w:val="0"/>
          <w:color w:val="000000"/>
          <w:sz w:val="24"/>
        </w:rPr>
        <w:t>)</w:t>
      </w: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2" w:hAnsi="LMSans12" w:eastAsia="LMSans12"/>
          <w:b w:val="0"/>
          <w:i w:val="0"/>
          <w:color w:val="000000"/>
          <w:sz w:val="24"/>
        </w:rPr>
        <w:t>Topics in Deep Learning (</w:t>
      </w:r>
      <w:r>
        <w:rPr>
          <w:rFonts w:ascii="LMSans10" w:hAnsi="LMSans10" w:eastAsia="LMSans10"/>
          <w:b/>
          <w:i w:val="0"/>
          <w:color w:val="000000"/>
          <w:sz w:val="24"/>
        </w:rPr>
        <w:t>A</w:t>
      </w:r>
      <w:r>
        <w:rPr>
          <w:rFonts w:ascii="LMSans12" w:hAnsi="LMSans12" w:eastAsia="LMSans12"/>
          <w:b w:val="0"/>
          <w:i w:val="0"/>
          <w:color w:val="000000"/>
          <w:sz w:val="24"/>
        </w:rPr>
        <w:t>)</w:t>
      </w:r>
      <w:r>
        <w:br/>
      </w: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2" w:hAnsi="LMSans12" w:eastAsia="LMSans12"/>
          <w:b w:val="0"/>
          <w:i w:val="0"/>
          <w:color w:val="000000"/>
          <w:sz w:val="24"/>
        </w:rPr>
        <w:t>Matrix Computations (</w:t>
      </w:r>
      <w:r>
        <w:rPr>
          <w:rFonts w:ascii="LMSans10" w:hAnsi="LMSans10" w:eastAsia="LMSans10"/>
          <w:b/>
          <w:i w:val="0"/>
          <w:color w:val="000000"/>
          <w:sz w:val="24"/>
        </w:rPr>
        <w:t>A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Sans12" w:hAnsi="LMSans12" w:eastAsia="LMSans1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492" w:lineRule="exact" w:before="82" w:after="0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Services</w:t>
      </w:r>
    </w:p>
    <w:p>
      <w:pPr>
        <w:sectPr>
          <w:type w:val="continuous"/>
          <w:pgSz w:w="11906" w:h="16838"/>
          <w:pgMar w:top="114" w:right="522" w:bottom="322" w:left="576" w:header="720" w:footer="720" w:gutter="0"/>
          <w:cols w:num="2" w:equalWidth="0">
            <w:col w:w="4466" w:space="0"/>
            <w:col w:w="6342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58" w:after="678"/>
        <w:ind w:left="1024" w:right="1296" w:firstLine="0"/>
        <w:jc w:val="left"/>
      </w:pP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2" w:hAnsi="LMSans12" w:eastAsia="LMSans12"/>
          <w:b w:val="0"/>
          <w:i w:val="0"/>
          <w:color w:val="000000"/>
          <w:sz w:val="24"/>
        </w:rPr>
        <w:t>Natural Language Processing (</w:t>
      </w:r>
      <w:r>
        <w:rPr>
          <w:rFonts w:ascii="LMSans10" w:hAnsi="LMSans10" w:eastAsia="LMSans10"/>
          <w:b/>
          <w:i w:val="0"/>
          <w:color w:val="000000"/>
          <w:sz w:val="24"/>
        </w:rPr>
        <w:t>A</w:t>
      </w:r>
      <w:r>
        <w:rPr>
          <w:rFonts w:ascii="LMSans12" w:hAnsi="LMSans12" w:eastAsia="LMSans12"/>
          <w:b w:val="0"/>
          <w:i w:val="0"/>
          <w:color w:val="000000"/>
          <w:sz w:val="24"/>
        </w:rPr>
        <w:t>)</w:t>
      </w:r>
      <w:r>
        <w:br/>
      </w: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2" w:hAnsi="LMSans12" w:eastAsia="LMSans12"/>
          <w:b w:val="0"/>
          <w:i w:val="0"/>
          <w:color w:val="000000"/>
          <w:sz w:val="24"/>
        </w:rPr>
        <w:t>Speech and Learning Technologies (</w:t>
      </w:r>
      <w:r>
        <w:rPr>
          <w:rFonts w:ascii="LMSans10" w:hAnsi="LMSans10" w:eastAsia="LMSans10"/>
          <w:b/>
          <w:i w:val="0"/>
          <w:color w:val="000000"/>
          <w:sz w:val="24"/>
        </w:rPr>
        <w:t>A</w:t>
      </w:r>
      <w:r>
        <w:rPr>
          <w:rFonts w:ascii="LMSans12" w:hAnsi="LMSans12" w:eastAsia="LMSans12"/>
          <w:b w:val="0"/>
          <w:i w:val="0"/>
          <w:color w:val="000000"/>
          <w:sz w:val="24"/>
        </w:rPr>
        <w:t>)</w:t>
      </w: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2" w:hAnsi="LMSans12" w:eastAsia="LMSans12"/>
          <w:b w:val="0"/>
          <w:i w:val="0"/>
          <w:color w:val="000000"/>
          <w:sz w:val="24"/>
        </w:rPr>
        <w:t>Algorithms (</w:t>
      </w:r>
      <w:r>
        <w:rPr>
          <w:rFonts w:ascii="LMSans10" w:hAnsi="LMSans10" w:eastAsia="LMSans10"/>
          <w:b/>
          <w:i w:val="0"/>
          <w:color w:val="000000"/>
          <w:sz w:val="24"/>
        </w:rPr>
        <w:t>A</w:t>
      </w:r>
      <w:r>
        <w:rPr>
          <w:rFonts w:ascii="LMMathSymbols8" w:hAnsi="LMMathSymbols8" w:eastAsia="LMMathSymbols8"/>
          <w:b w:val="0"/>
          <w:i/>
          <w:color w:val="000000"/>
          <w:sz w:val="16"/>
        </w:rPr>
        <w:t>−</w:t>
      </w:r>
      <w:r>
        <w:rPr>
          <w:rFonts w:ascii="LMSans12" w:hAnsi="LMSans12" w:eastAsia="LMSans12"/>
          <w:b w:val="0"/>
          <w:i w:val="0"/>
          <w:color w:val="000000"/>
          <w:sz w:val="24"/>
        </w:rPr>
        <w:t>)</w:t>
      </w:r>
    </w:p>
    <w:p>
      <w:pPr>
        <w:sectPr>
          <w:type w:val="nextColumn"/>
          <w:pgSz w:w="11906" w:h="16838"/>
          <w:pgMar w:top="114" w:right="522" w:bottom="322" w:left="576" w:header="720" w:footer="720" w:gutter="0"/>
          <w:cols w:num="2" w:equalWidth="0">
            <w:col w:w="4466" w:space="0"/>
            <w:col w:w="634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5404"/>
        <w:gridCol w:w="5404"/>
      </w:tblGrid>
      <w:tr>
        <w:trPr>
          <w:trHeight w:hRule="exact" w:val="988"/>
        </w:trPr>
        <w:tc>
          <w:tcPr>
            <w:tcW w:type="dxa" w:w="8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2" w:after="0"/>
              <w:ind w:left="10" w:right="576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w w:val="98.62537384033203"/>
                <w:rFonts w:ascii="LMSans12" w:hAnsi="LMSans12" w:eastAsia="LMSans12"/>
                <w:b w:val="0"/>
                <w:i w:val="0"/>
                <w:color w:val="000000"/>
                <w:sz w:val="24"/>
              </w:rPr>
              <w:t>Teaching Assistant: Machine Learning; instructor Prof.Greg Shakhnarovich</w:t>
            </w: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w w:val="98.62537384033203"/>
                <w:rFonts w:ascii="LMSans12" w:hAnsi="LMSans12" w:eastAsia="LMSans12"/>
                <w:b w:val="0"/>
                <w:i w:val="0"/>
                <w:color w:val="000000"/>
                <w:sz w:val="24"/>
              </w:rPr>
              <w:t>Co-organizer of Annual TTI-C Student Workshop</w:t>
            </w:r>
            <w:r>
              <w:br/>
            </w:r>
            <w:r>
              <w:rPr>
                <w:rFonts w:ascii="FontAwesome" w:hAnsi="FontAwesome" w:eastAsia="FontAwesome"/>
                <w:b w:val="0"/>
                <w:i w:val="0"/>
                <w:color w:val="3872B2"/>
                <w:sz w:val="12"/>
              </w:rPr>
              <w:t>○</w:t>
            </w:r>
            <w:r>
              <w:rPr>
                <w:w w:val="98.62537384033203"/>
                <w:rFonts w:ascii="LMSans12" w:hAnsi="LMSans12" w:eastAsia="LMSans12"/>
                <w:b w:val="0"/>
                <w:i w:val="0"/>
                <w:color w:val="000000"/>
                <w:sz w:val="24"/>
              </w:rPr>
              <w:t>Co-organizer of vision reading group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58" w:after="0"/>
              <w:ind w:left="576" w:right="0" w:firstLine="0"/>
              <w:jc w:val="right"/>
            </w:pP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t xml:space="preserve">Fall 2020 </w:t>
            </w:r>
            <w:r>
              <w:br/>
            </w: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t xml:space="preserve">Feb 2020 </w:t>
            </w:r>
            <w:r>
              <w:br/>
            </w:r>
            <w:r>
              <w:rPr>
                <w:rFonts w:ascii="LMSans10" w:hAnsi="LMSans10" w:eastAsia="LMSans10"/>
                <w:b/>
                <w:i/>
                <w:color w:val="000000"/>
                <w:sz w:val="24"/>
              </w:rPr>
              <w:t>Oct 2020 – Present</w:t>
            </w:r>
          </w:p>
        </w:tc>
      </w:tr>
    </w:tbl>
    <w:p>
      <w:pPr>
        <w:autoSpaceDN w:val="0"/>
        <w:autoSpaceDE w:val="0"/>
        <w:widowControl/>
        <w:spacing w:line="494" w:lineRule="exact" w:before="66" w:after="0"/>
        <w:ind w:left="0" w:right="0" w:firstLine="0"/>
        <w:jc w:val="left"/>
      </w:pPr>
      <w:r>
        <w:rPr>
          <w:w w:val="101.26706291647518"/>
          <w:rFonts w:ascii="LMSans10" w:hAnsi="LMSans10" w:eastAsia="LMSans10"/>
          <w:b/>
          <w:i w:val="0"/>
          <w:color w:val="3872B2"/>
          <w:sz w:val="34"/>
        </w:rPr>
        <w:t>Skills</w:t>
      </w:r>
    </w:p>
    <w:p>
      <w:pPr>
        <w:autoSpaceDN w:val="0"/>
        <w:autoSpaceDE w:val="0"/>
        <w:widowControl/>
        <w:spacing w:line="404" w:lineRule="exact" w:before="48" w:after="0"/>
        <w:ind w:left="14" w:right="0" w:firstLine="0"/>
        <w:jc w:val="left"/>
      </w:pP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0" w:hAnsi="LMSans10" w:eastAsia="LMSans10"/>
          <w:b/>
          <w:i w:val="0"/>
          <w:color w:val="000000"/>
          <w:sz w:val="24"/>
        </w:rPr>
        <w:t>Programming Languages:</w:t>
      </w:r>
      <w:r>
        <w:rPr>
          <w:rFonts w:ascii="LMSans12" w:hAnsi="LMSans12" w:eastAsia="LMSans12"/>
          <w:b w:val="0"/>
          <w:i w:val="0"/>
          <w:color w:val="000000"/>
          <w:sz w:val="24"/>
        </w:rPr>
        <w:t xml:space="preserve"> Python; Matlab; C++; L </w:t>
      </w:r>
      <w:r>
        <w:rPr>
          <w:rFonts w:ascii="LMSans8" w:hAnsi="LMSans8" w:eastAsia="LMSans8"/>
          <w:b w:val="0"/>
          <w:i w:val="0"/>
          <w:color w:val="000000"/>
          <w:sz w:val="16"/>
        </w:rPr>
        <w:t>A</w:t>
      </w:r>
      <w:r>
        <w:rPr>
          <w:rFonts w:ascii="LMSans12" w:hAnsi="LMSans12" w:eastAsia="LMSans12"/>
          <w:b w:val="0"/>
          <w:i w:val="0"/>
          <w:color w:val="000000"/>
          <w:sz w:val="24"/>
        </w:rPr>
        <w:t xml:space="preserve">T </w:t>
      </w:r>
      <w:r>
        <w:rPr>
          <w:rFonts w:ascii="LMSans12" w:hAnsi="LMSans12" w:eastAsia="LMSans12"/>
          <w:b w:val="0"/>
          <w:i w:val="0"/>
          <w:color w:val="000000"/>
          <w:sz w:val="24"/>
        </w:rPr>
        <w:t>E</w:t>
      </w:r>
      <w:r>
        <w:rPr>
          <w:rFonts w:ascii="LMSans12" w:hAnsi="LMSans12" w:eastAsia="LMSans12"/>
          <w:b w:val="0"/>
          <w:i w:val="0"/>
          <w:color w:val="000000"/>
          <w:sz w:val="24"/>
        </w:rPr>
        <w:t>X</w:t>
      </w:r>
    </w:p>
    <w:p>
      <w:pPr>
        <w:autoSpaceDN w:val="0"/>
        <w:autoSpaceDE w:val="0"/>
        <w:widowControl/>
        <w:spacing w:line="350" w:lineRule="exact" w:before="0" w:after="0"/>
        <w:ind w:left="14" w:right="0" w:firstLine="0"/>
        <w:jc w:val="left"/>
      </w:pPr>
      <w:r>
        <w:rPr>
          <w:rFonts w:ascii="FontAwesome" w:hAnsi="FontAwesome" w:eastAsia="FontAwesome"/>
          <w:b w:val="0"/>
          <w:i w:val="0"/>
          <w:color w:val="3872B2"/>
          <w:sz w:val="12"/>
        </w:rPr>
        <w:t>○</w:t>
      </w:r>
      <w:r>
        <w:rPr>
          <w:rFonts w:ascii="LMSans10" w:hAnsi="LMSans10" w:eastAsia="LMSans10"/>
          <w:b/>
          <w:i w:val="0"/>
          <w:color w:val="000000"/>
          <w:sz w:val="24"/>
        </w:rPr>
        <w:t>Packages:</w:t>
      </w:r>
      <w:r>
        <w:rPr>
          <w:rFonts w:ascii="LMSans12" w:hAnsi="LMSans12" w:eastAsia="LMSans12"/>
          <w:b w:val="0"/>
          <w:i w:val="0"/>
          <w:color w:val="000000"/>
          <w:sz w:val="24"/>
        </w:rPr>
        <w:t xml:space="preserve"> PyTorch; PySpark; Scikit; WandB; PuDB</w:t>
      </w:r>
    </w:p>
    <w:sectPr w:rsidR="00FC693F" w:rsidRPr="0006063C" w:rsidSect="00034616">
      <w:type w:val="continuous"/>
      <w:pgSz w:w="11906" w:h="16838"/>
      <w:pgMar w:top="114" w:right="522" w:bottom="322" w:left="57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people.cs.uchicago.edu/~sudarshan/" TargetMode="External"/><Relationship Id="rId10" Type="http://schemas.openxmlformats.org/officeDocument/2006/relationships/hyperlink" Target="http://people.cs.uchicago.edu/~mma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