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云栖智联科技股份有限公司｜法律尽职调查第一轮资料核验与重点问题摘要</w:t>
      </w:r>
    </w:p>
    <w:p>
      <w:pPr>
        <w:pStyle w:val="Normal"/>
      </w:pPr>
      <w:r>
        <w:t xml:space="preserve">提交对象：远图数字产业投资（上海）有限公司项目组（买方律师团队复核用，非正式法律意见）</w:t>
      </w:r>
    </w:p>
    <w:p>
      <w:pPr>
        <w:pStyle w:val="Normal"/>
      </w:pPr>
      <w:r>
        <w:t xml:space="preserve">目标公司：云栖智联科技股份有限公司　|　交易：受让65%股权并取得控制权　|　基准日：2026-07-15</w:t>
      </w:r>
    </w:p>
    <w:p>
      <w:pPr>
        <w:pStyle w:val="Normal"/>
      </w:pPr>
      <w:r>
        <w:t xml:space="preserve">资料范围：虚拟数据室 VDR（第一轮，29份资料）　|　核验清单：52项</w:t>
      </w:r>
    </w:p>
    <w:p>
      <w:pPr>
        <w:pStyle w:val="Heading1"/>
      </w:pPr>
      <w:r>
        <w:rPr>
          <w:b/>
        </w:rPr>
        <w:t xml:space="preserve">一、交易及审阅范围</w:t>
      </w:r>
    </w:p>
    <w:p>
      <w:pPr>
        <w:pStyle w:val="Normal"/>
      </w:pPr>
      <w:r>
        <w:t xml:space="preserve">买方（远图数字产业投资（上海）有限公司）拟受让目标公司65%股权并取得控制权。本轮审阅为目标公司第一轮资料（VDR v0.6），覆盖主体资格与历史沿革、股权与公司治理、重大合同与融资、知识产权与信息技术、劳动人事、数据合规与业务资质、争议债务与保险、物业与其他共八个领域。全部主体、人员、合同、账号、地址与交易数据均为虚构合成信息。</w:t>
      </w:r>
    </w:p>
    <w:p>
      <w:pPr>
        <w:pStyle w:val="Heading1"/>
      </w:pPr>
      <w:r>
        <w:rPr>
          <w:b/>
        </w:rPr>
        <w:t xml:space="preserve">二、执行摘要</w:t>
      </w:r>
    </w:p>
    <w:p>
      <w:pPr>
        <w:pStyle w:val="Normal"/>
      </w:pPr>
      <w:r>
        <w:t xml:space="preserve">52项清单中：已满足 12 项，部分满足 35 项，未满足 2 项，不适用 0 项，待确认 0 项，资料冲突 3 项；高风险（HIGH）32 项。识别出跨文件矛盾 3 处（股权结构多源比例不一致、数据跨境表述与云架构实际部署不一致、重大索赔/争议未纳入争议与或有负债清单），并将重复缺件合并为20项可执行补件/问询。四类核心风险（股权/出资、核心知识产权、数据跨境、控制权变更）均已在重点问题中覆盖。</w:t>
      </w:r>
    </w:p>
    <w:p>
      <w:pPr>
        <w:pStyle w:val="Heading1"/>
      </w:pPr>
      <w:r>
        <w:rPr>
          <w:b/>
        </w:rPr>
        <w:t xml:space="preserve">三、跨文件矛盾识别（3处）</w:t>
      </w:r>
    </w:p>
    <w:p>
      <w:pPr>
        <w:pStyle w:val="Normal"/>
      </w:pPr>
      <w:r>
        <w:t xml:space="preserve">下列矛盾通过比对文件实质内容（比例、金额、表述、部署区域）识别，而非仅依据文件命名。</w:t>
      </w:r>
    </w:p>
    <w:p>
      <w:pPr>
        <w:pStyle w:val="Heading2"/>
      </w:pPr>
      <w:r>
        <w:rPr>
          <w:b/>
        </w:rPr>
        <w:t xml:space="preserve">CT-01　股权结构多源比例不一致　[HIGH]</w:t>
      </w:r>
    </w:p>
    <w:p>
      <w:pPr>
        <w:pStyle w:val="Normal"/>
      </w:pPr>
      <w:r>
        <w:t xml:space="preserve">冲突文件：01_主体资格及历史沿革__01.1_登记事项及关键变更档案_20260710；01_主体资格及历史沿革__01.2_公司章程_202409修订_签署版；02_股权及公司治理__02.1_股权结构及历次变动台账_20260712；02_股权及公司治理__02.3_2024股权转让及决议文件汇编</w:t>
      </w:r>
    </w:p>
    <w:p>
      <w:pPr>
        <w:pStyle w:val="Normal"/>
      </w:pPr>
      <w:r>
        <w:t xml:space="preserve">矛盾说明：云栖智联员工持股平台（有限合伙）：比例在文件中记载不一（8%/10%/22%/33%/45%，见 01_主体资格及历史沿革__01.1_登记事项及关键变更档案_20260710、01_主体资格及历史沿革__01.2_公司章程_202409修订_签署版、02_股权及公司治理__02.1_股权结构及历次变动台账_20260712、02_股权及公司治理__02.3_2024股权转让及决议文件汇编）。该冲突直接影响收购基准股权表与本次交易对价，并可能触发历史转让协议效力与税务复核。</w:t>
      </w:r>
    </w:p>
    <w:p>
      <w:pPr>
        <w:pStyle w:val="Normal"/>
      </w:pPr>
      <w:r>
        <w:t xml:space="preserve">关联清单：CAP-01、CORP-03、CAP-04、CAP-05　|　建议处置：以登记机关备案文本统一股权比例，由转让方提供更正说明、历史转让对价支付凭证及出资期限说明，并作为交易先决条件（F-01）。</w:t>
      </w:r>
    </w:p>
    <w:p>
      <w:pPr>
        <w:pStyle w:val="Heading2"/>
      </w:pPr>
      <w:r>
        <w:rPr>
          <w:b/>
        </w:rPr>
        <w:t xml:space="preserve">CT-02　数据跨境表述与云架构实际部署不一致　[HIGH]</w:t>
      </w:r>
    </w:p>
    <w:p>
      <w:pPr>
        <w:pStyle w:val="Normal"/>
      </w:pPr>
      <w:r>
        <w:t xml:space="preserve">冲突文件：06_数据合规及业务资质__06.1_隐私政策与数据处理说明_2026；06_数据合规及业务资质__06.2_云服务账单及资源区域_202601-06</w:t>
      </w:r>
    </w:p>
    <w:p>
      <w:pPr>
        <w:pStyle w:val="Normal"/>
      </w:pPr>
      <w:r>
        <w:t xml:space="preserve">矛盾说明：隐私政策称无客户生产数据出境、海外仅测试/演示数据，但云账单显示境外区域（新加坡）部署含个人信息与账号标识符：prod-obs（新加坡，应用日志、IP、账号标识符（含个人信息））；sales-demo（新加坡，合成测试数据）。表述与部署互相矛盾，须核实是否落入《个人信息保护法》出境规制。</w:t>
      </w:r>
    </w:p>
    <w:p>
      <w:pPr>
        <w:pStyle w:val="Normal"/>
      </w:pPr>
      <w:r>
        <w:t xml:space="preserve">关联清单：DATA-03、DATA-05　|　建议处置：要求目标公司澄清上述境外资源的数据属性（是否含个人信息/重要数据）、接收方与传输目的，补充跨境传输字段清单、告知同意记录、与境外接收方签订的标准合同/安全评估及个人信息保护影响评估（PIA）文件，作为事实问询并纳入陈述保证（F-08）。</w:t>
      </w:r>
    </w:p>
    <w:p>
      <w:pPr>
        <w:pStyle w:val="Heading2"/>
      </w:pPr>
      <w:r>
        <w:rPr>
          <w:b/>
        </w:rPr>
        <w:t xml:space="preserve">CT-03　重大索赔/争议未纳入争议与或有负债清单　[HIGH]</w:t>
      </w:r>
    </w:p>
    <w:p>
      <w:pPr>
        <w:pStyle w:val="Normal"/>
      </w:pPr>
      <w:r>
        <w:t xml:space="preserve">冲突文件：03_重大合同及融资__03.1_重大合同台账_20260712；07_争议债务及保险__07.3_供应商索赔律师函_20260618；07_争议债务及保险__07.1_诉讼仲裁及或有负债清单_202607</w:t>
      </w:r>
    </w:p>
    <w:p>
      <w:pPr>
        <w:pStyle w:val="Normal"/>
      </w:pPr>
      <w:r>
        <w:t xml:space="preserve">矛盾说明：以下合同的争议/索赔见于合同台账或律师函，但未列入07.1诉讼仲裁及或有负债清单：C-03（供应商丙科技有限公司，逾期付款，存在争议）。可能低估或有负债。</w:t>
      </w:r>
    </w:p>
    <w:p>
      <w:pPr>
        <w:pStyle w:val="Normal"/>
      </w:pPr>
      <w:r>
        <w:t xml:space="preserve">关联清单：DISP-01、DISP-02、CON-08　|　建议处置：将遗漏索赔补入争议/或有负债清单并说明原因，纳入赔偿（indemnity）事项（F-09）。</w:t>
      </w:r>
    </w:p>
    <w:p>
      <w:pPr>
        <w:pStyle w:val="Heading1"/>
      </w:pPr>
      <w:r>
        <w:rPr>
          <w:b/>
        </w:rPr>
        <w:t xml:space="preserve">四、核验状态统计</w:t>
      </w:r>
    </w:p>
    <w:tbl>
      <w:tblPr>
        <w:tblStyle w:val="TableGrid"/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维度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类别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数量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占比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核验状态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已满足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12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23%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核验状态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部分满足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35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67%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核验状态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未满足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2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4%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核验状态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不适用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核验状态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待确认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核验状态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资料冲突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3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6%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风险等级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HIGH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32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62%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风险等级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MEDIUM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8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15%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风险等级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LOW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12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23%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风险等级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INFO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处置类型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CP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26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50%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处置类型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COVENANT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10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19%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处置类型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INDEMNITY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3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6%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处置类型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RFI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13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25%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处置类型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MONITOR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0%</w:t>
            </w:r>
          </w:p>
        </w:tc>
      </w:tr>
      <w:tr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处置类型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NONE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</w:t>
            </w:r>
          </w:p>
        </w:tc>
        <w:tc>
          <w:tcPr>
            <w:tcW w:w="2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r>
              <w:t xml:space="preserve">0%</w:t>
            </w:r>
          </w:p>
        </w:tc>
      </w:tr>
    </w:tbl>
    <w:p>
      <w:pPr>
        <w:pStyle w:val="Heading1"/>
      </w:pPr>
      <w:r>
        <w:rPr>
          <w:b/>
        </w:rPr>
        <w:t xml:space="preserve">五、重点问题（12项）</w:t>
      </w:r>
    </w:p>
    <w:p>
      <w:pPr>
        <w:pStyle w:val="Heading2"/>
      </w:pPr>
      <w:r>
        <w:rPr>
          <w:b/>
        </w:rPr>
        <w:t xml:space="preserve">K-01　股权结构多源比例不一致　[HIGH / CP]</w:t>
      </w:r>
    </w:p>
    <w:p>
      <w:pPr>
        <w:pStyle w:val="Normal"/>
      </w:pPr>
      <w:r>
        <w:t xml:space="preserve">事实：云栖智联员工持股平台（有限合伙）：比例在文件中记载不一（8%/10%/22%/33%/45%，见 01_主体资格及历史沿革__01.1_登记事项及关键变更档案_20260710、01_主体资格及历史沿革__01.2_公司章程_202409修订_签署版、02_股权及公司治理__02.1_股权结构及历次变动台账_20260712、02_股权及公司治理__02.3_2024股权转让及决议文件汇编）。该冲突直接影响收购基准股权表与本次交易对价，并可能触发历史转让协议效力与税务复核。</w:t>
      </w:r>
    </w:p>
    <w:p>
      <w:pPr>
        <w:pStyle w:val="Normal"/>
      </w:pPr>
      <w:r>
        <w:t xml:space="preserve">证据：01_主体资格及历史沿革__01.1_登记事项及关键变更档案_20260710；01_主体资格及历史沿革__01.2_公司章程_202409修订_签署版；02_股权及公司治理__02.1_股权结构及历次变动台账_20260712；02_股权及公司治理__02.3_2024股权转让及决议文件汇编</w:t>
      </w:r>
    </w:p>
    <w:p>
      <w:pPr>
        <w:pStyle w:val="Normal"/>
      </w:pPr>
      <w:r>
        <w:t xml:space="preserve">影响：影响交易对价/合规/赔偿，须作为先决或陈述保证。</w:t>
      </w:r>
    </w:p>
    <w:p>
      <w:pPr>
        <w:pStyle w:val="Normal"/>
      </w:pPr>
      <w:r>
        <w:t xml:space="preserve">待核验：关联清单 CAP-01、CORP-03、CAP-04、CAP-05；建议交易处置：CP（见补件问询 F-01）</w:t>
      </w:r>
    </w:p>
    <w:p>
      <w:pPr>
        <w:pStyle w:val="Heading2"/>
      </w:pPr>
      <w:r>
        <w:rPr>
          <w:b/>
        </w:rPr>
        <w:t xml:space="preserve">K-02　数据跨境表述与云架构不一致　[HIGH / RFI]</w:t>
      </w:r>
    </w:p>
    <w:p>
      <w:pPr>
        <w:pStyle w:val="Normal"/>
      </w:pPr>
      <w:r>
        <w:t xml:space="preserve">事实：隐私政策称无客户生产数据出境、海外仅测试/演示数据，但云账单显示境外区域（新加坡）部署含个人信息与账号标识符：prod-obs（新加坡，应用日志、IP、账号标识符（含个人信息））；sales-demo（新加坡，合成测试数据）。表述与部署互相矛盾，须核实是否落入《个人信息保护法》出境规制。</w:t>
      </w:r>
    </w:p>
    <w:p>
      <w:pPr>
        <w:pStyle w:val="Normal"/>
      </w:pPr>
      <w:r>
        <w:t xml:space="preserve">证据：06_数据合规及业务资质__06.1_隐私政策与数据处理说明_2026；06_数据合规及业务资质__06.2_云服务账单及资源区域_202601-06</w:t>
      </w:r>
    </w:p>
    <w:p>
      <w:pPr>
        <w:pStyle w:val="Normal"/>
      </w:pPr>
      <w:r>
        <w:t xml:space="preserve">影响：影响交易对价/合规/赔偿，须作为先决或陈述保证。</w:t>
      </w:r>
    </w:p>
    <w:p>
      <w:pPr>
        <w:pStyle w:val="Normal"/>
      </w:pPr>
      <w:r>
        <w:t xml:space="preserve">待核验：关联清单 DATA-03、DATA-05；建议交易处置：RFI（见补件问询 F-08）</w:t>
      </w:r>
    </w:p>
    <w:p>
      <w:pPr>
        <w:pStyle w:val="Heading2"/>
      </w:pPr>
      <w:r>
        <w:rPr>
          <w:b/>
        </w:rPr>
        <w:t xml:space="preserve">K-03　重大索赔未入争议/或有负债清单　[HIGH / INDEMNITY]</w:t>
      </w:r>
    </w:p>
    <w:p>
      <w:pPr>
        <w:pStyle w:val="Normal"/>
      </w:pPr>
      <w:r>
        <w:t xml:space="preserve">事实：以下合同的争议/索赔见于合同台账或律师函，但未列入07.1诉讼仲裁及或有负债清单：C-03（供应商丙科技有限公司，逾期付款，存在争议）。可能低估或有负债。</w:t>
      </w:r>
    </w:p>
    <w:p>
      <w:pPr>
        <w:pStyle w:val="Normal"/>
      </w:pPr>
      <w:r>
        <w:t xml:space="preserve">证据：03_重大合同及融资__03.1_重大合同台账_20260712；07_争议债务及保险__07.3_供应商索赔律师函_20260618；07_争议债务及保险__07.1_诉讼仲裁及或有负债清单_202607</w:t>
      </w:r>
    </w:p>
    <w:p>
      <w:pPr>
        <w:pStyle w:val="Normal"/>
      </w:pPr>
      <w:r>
        <w:t xml:space="preserve">影响：影响交易对价/合规/赔偿，须作为先决或陈述保证。</w:t>
      </w:r>
    </w:p>
    <w:p>
      <w:pPr>
        <w:pStyle w:val="Normal"/>
      </w:pPr>
      <w:r>
        <w:t xml:space="preserve">待核验：关联清单 DISP-01、DISP-02、CON-08；建议交易处置：INDEMNITY（见补件问询 F-09）</w:t>
      </w:r>
    </w:p>
    <w:p>
      <w:pPr>
        <w:pStyle w:val="Heading2"/>
      </w:pPr>
      <w:r>
        <w:rPr>
          <w:b/>
        </w:rPr>
        <w:t xml:space="preserve">K-04　控股股东出资未实缴　[HIGH / CP]</w:t>
      </w:r>
    </w:p>
    <w:p>
      <w:pPr>
        <w:pStyle w:val="Normal"/>
      </w:pPr>
      <w:r>
        <w:t xml:space="preserve">事实：股权结构台账显示：林远 认缴1200/实缴1000；华晟创业投资有限公司 认缴500/实缴500；云栖智联员工持股平台（有限合伙） 认缴160/实缴160；其他创始股东 认缴140/实缴140。存在未实缴出资。</w:t>
      </w:r>
    </w:p>
    <w:p>
      <w:pPr>
        <w:pStyle w:val="Normal"/>
      </w:pPr>
      <w:r>
        <w:t xml:space="preserve">证据：02_股权及公司治理__02.1_股权结构及历次变动台账_20260712｜正文</w:t>
      </w:r>
    </w:p>
    <w:p>
      <w:pPr>
        <w:pStyle w:val="Normal"/>
      </w:pPr>
      <w:r>
        <w:t xml:space="preserve">影响：实收资本不完整，影响估值与交割后资本充实。</w:t>
      </w:r>
    </w:p>
    <w:p>
      <w:pPr>
        <w:pStyle w:val="Normal"/>
      </w:pPr>
      <w:r>
        <w:t xml:space="preserve">待核验：关联清单 CAP-02；建议交易处置：CP（见补件问询 F-01）</w:t>
      </w:r>
    </w:p>
    <w:p>
      <w:pPr>
        <w:pStyle w:val="Heading2"/>
      </w:pPr>
      <w:r>
        <w:rPr>
          <w:b/>
        </w:rPr>
        <w:t xml:space="preserve">K-05　控制权变更触发重大合同/融资/租赁限制　[HIGH / COVENANT]</w:t>
      </w:r>
    </w:p>
    <w:p>
      <w:pPr>
        <w:pStyle w:val="Normal"/>
      </w:pPr>
      <w:r>
        <w:t xml:space="preserve">事实：本次收购构成控制权变更，核心客户合同、借款合同与租赁含提前通知/增信/同意条款。</w:t>
      </w:r>
    </w:p>
    <w:p>
      <w:pPr>
        <w:pStyle w:val="Normal"/>
      </w:pPr>
      <w:r>
        <w:t xml:space="preserve">证据：CON-02：03_重大合同及融资__03.1_重大合同台账_20260712｜正文
CON-05：03_重大合同及融资__03.1_重大合同台账_20260712｜正文
PROP-01：08_物业及其他__08.1_研发场地租赁合同及补充协议｜正文</w:t>
      </w:r>
    </w:p>
    <w:p>
      <w:pPr>
        <w:pStyle w:val="Normal"/>
      </w:pPr>
      <w:r>
        <w:t xml:space="preserve">影响：若未获相对方确认，核心收入与融资可能中断。</w:t>
      </w:r>
    </w:p>
    <w:p>
      <w:pPr>
        <w:pStyle w:val="Normal"/>
      </w:pPr>
      <w:r>
        <w:t xml:space="preserve">待核验：关联清单 CON-02、CON-05、PROP-01；建议交易处置：COVENANT（见补件问询 ）</w:t>
      </w:r>
    </w:p>
    <w:p>
      <w:pPr>
        <w:pStyle w:val="Heading2"/>
      </w:pPr>
      <w:r>
        <w:rPr>
          <w:b/>
        </w:rPr>
        <w:t xml:space="preserve">K-06　董事会决议法定人数瑕疵　[HIGH / CP]</w:t>
      </w:r>
    </w:p>
    <w:p>
      <w:pPr>
        <w:pStyle w:val="Normal"/>
      </w:pPr>
      <w:r>
        <w:t xml:space="preserve">事实：治理决议汇编含股东会/董事会决议；章程规定董事会法定人数约 4 名董事，需核签署人数是否达标。</w:t>
      </w:r>
    </w:p>
    <w:p>
      <w:pPr>
        <w:pStyle w:val="Normal"/>
      </w:pPr>
      <w:r>
        <w:t xml:space="preserve">证据：02_股权及公司治理__02.4_治理决议汇编_2024-2026｜正文</w:t>
      </w:r>
    </w:p>
    <w:p>
      <w:pPr>
        <w:pStyle w:val="Normal"/>
      </w:pPr>
      <w:r>
        <w:t xml:space="preserve">影响：借款及保证合同授权存在效力瑕疵。</w:t>
      </w:r>
    </w:p>
    <w:p>
      <w:pPr>
        <w:pStyle w:val="Normal"/>
      </w:pPr>
      <w:r>
        <w:t xml:space="preserve">待核验：关联清单 GOV-02、GOV-03、CON-05；建议交易处置：CP（见补件问询 ）</w:t>
      </w:r>
    </w:p>
    <w:p>
      <w:pPr>
        <w:pStyle w:val="Heading2"/>
      </w:pPr>
      <w:r>
        <w:rPr>
          <w:b/>
        </w:rPr>
        <w:t xml:space="preserve">K-07　增值电信许可证过期仍经营SaaS　[HIGH / CP]</w:t>
      </w:r>
    </w:p>
    <w:p>
      <w:pPr>
        <w:pStyle w:val="Normal"/>
      </w:pPr>
      <w:r>
        <w:t xml:space="preserve">事实：业务许可证 B2-2020，载明有效期至 2025-12-31（已过期，仍经营SaaS）。</w:t>
      </w:r>
    </w:p>
    <w:p>
      <w:pPr>
        <w:pStyle w:val="Normal"/>
      </w:pPr>
      <w:r>
        <w:t xml:space="preserve">证据：06_数据合规及业务资质__06.3_业务许可证及认证汇编｜正文</w:t>
      </w:r>
    </w:p>
    <w:p>
      <w:pPr>
        <w:pStyle w:val="Normal"/>
      </w:pPr>
      <w:r>
        <w:t xml:space="preserve">影响：许可缺失下持续经营存在无证经营风险。</w:t>
      </w:r>
    </w:p>
    <w:p>
      <w:pPr>
        <w:pStyle w:val="Normal"/>
      </w:pPr>
      <w:r>
        <w:t xml:space="preserve">待核验：关联清单 REG-01；建议交易处置：CP（见补件问询 F-06）</w:t>
      </w:r>
    </w:p>
    <w:p>
      <w:pPr>
        <w:pStyle w:val="Heading2"/>
      </w:pPr>
      <w:r>
        <w:rPr>
          <w:b/>
        </w:rPr>
        <w:t xml:space="preserve">K-08　CTO劳动合同未签署且无IP协议　[HIGH / CP]</w:t>
      </w:r>
    </w:p>
    <w:p>
      <w:pPr>
        <w:pStyle w:val="Normal"/>
      </w:pPr>
      <w:r>
        <w:t xml:space="preserve">事实：员工名册 5 人；关键人员（沈澈）合同状态：未签署稿。</w:t>
      </w:r>
    </w:p>
    <w:p>
      <w:pPr>
        <w:pStyle w:val="Normal"/>
      </w:pPr>
      <w:r>
        <w:t xml:space="preserve">证据：05_劳动人事__05.1_员工名册及社保情况_202606｜正文</w:t>
      </w:r>
    </w:p>
    <w:p>
      <w:pPr>
        <w:pStyle w:val="Normal"/>
      </w:pPr>
      <w:r>
        <w:t xml:space="preserve">影响：核心人员与职务成果权属留白。</w:t>
      </w:r>
    </w:p>
    <w:p>
      <w:pPr>
        <w:pStyle w:val="Normal"/>
      </w:pPr>
      <w:r>
        <w:t xml:space="preserve">待核验：关联清单 HR-02、HR-05、IP-03；建议交易处置：CP（见补件问询 F-03）</w:t>
      </w:r>
    </w:p>
    <w:p>
      <w:pPr>
        <w:pStyle w:val="Heading2"/>
      </w:pPr>
      <w:r>
        <w:rPr>
          <w:b/>
        </w:rPr>
        <w:t xml:space="preserve">K-09　关联交易无正式协议（核心IP使用安排）　[MEDIUM / INDEMNITY]</w:t>
      </w:r>
    </w:p>
    <w:p>
      <w:pPr>
        <w:pStyle w:val="Normal"/>
      </w:pPr>
      <w:r>
        <w:t xml:space="preserve">事实：与未收购关联方存在早期软件资产使用安排，无正式协议。</w:t>
      </w:r>
    </w:p>
    <w:p>
      <w:pPr>
        <w:pStyle w:val="Normal"/>
      </w:pPr>
      <w:r>
        <w:t xml:space="preserve">证据：04_知识产权及信息技术__04.1_知识产权清单_202607｜正文</w:t>
      </w:r>
    </w:p>
    <w:p>
      <w:pPr>
        <w:pStyle w:val="Normal"/>
      </w:pPr>
      <w:r>
        <w:t xml:space="preserve">影响：关联交易定价与IP权属不明。</w:t>
      </w:r>
    </w:p>
    <w:p>
      <w:pPr>
        <w:pStyle w:val="Normal"/>
      </w:pPr>
      <w:r>
        <w:t xml:space="preserve">待核验：关联清单 CON-07、IP-01；建议交易处置：INDEMNITY（见补件问询 F-03）</w:t>
      </w:r>
    </w:p>
    <w:p>
      <w:pPr>
        <w:pStyle w:val="Heading2"/>
      </w:pPr>
      <w:r>
        <w:rPr>
          <w:b/>
        </w:rPr>
        <w:t xml:space="preserve">K-10　开源AGPL/SSPL合规待复核　[MEDIUM / MONITOR]</w:t>
      </w:r>
    </w:p>
    <w:p>
      <w:pPr>
        <w:pStyle w:val="Normal"/>
      </w:pPr>
      <w:r>
        <w:t xml:space="preserve">事实：开源组件含强copyleft许可需专项复核：MinIO（许可AGPL-3.0，是否修改=是，网络提供=是（对象存储网关），是否分发=否）；VectorDB-X（许可SSPL-1.0，是否修改=否，网络提供=是（检索服务），是否分发=否）。</w:t>
      </w:r>
    </w:p>
    <w:p>
      <w:pPr>
        <w:pStyle w:val="Normal"/>
      </w:pPr>
      <w:r>
        <w:t xml:space="preserve">证据：04_知识产权及信息技术__04.4_开源软件使用清单_v3｜正文</w:t>
      </w:r>
    </w:p>
    <w:p>
      <w:pPr>
        <w:pStyle w:val="Normal"/>
      </w:pPr>
      <w:r>
        <w:t xml:space="preserve">影响：修改后网络提供可能触发copyleft义务。</w:t>
      </w:r>
    </w:p>
    <w:p>
      <w:pPr>
        <w:pStyle w:val="Normal"/>
      </w:pPr>
      <w:r>
        <w:t xml:space="preserve">待核验：关联清单 IP-04、IP-05；建议交易处置：MONITOR（见补件问询 F-03、F-11）</w:t>
      </w:r>
    </w:p>
    <w:p>
      <w:pPr>
        <w:pStyle w:val="Heading2"/>
      </w:pPr>
      <w:r>
        <w:rPr>
          <w:b/>
        </w:rPr>
        <w:t xml:space="preserve">K-11　研发场地租赁临近到期且COC同意缺失　[MEDIUM / COVENANT]</w:t>
      </w:r>
    </w:p>
    <w:p>
      <w:pPr>
        <w:pStyle w:val="Normal"/>
      </w:pPr>
      <w:r>
        <w:t xml:space="preserve">事实：已提供相关资料（08.1、03.1 ）。</w:t>
      </w:r>
    </w:p>
    <w:p>
      <w:pPr>
        <w:pStyle w:val="Normal"/>
      </w:pPr>
      <w:r>
        <w:t xml:space="preserve">证据：08_物业及其他__08.1_研发场地租赁合同及补充协议｜正文</w:t>
      </w:r>
    </w:p>
    <w:p>
      <w:pPr>
        <w:pStyle w:val="Normal"/>
      </w:pPr>
      <w:r>
        <w:t xml:space="preserve">影响：续租不确定或出租方设障影响研发场所稳定。</w:t>
      </w:r>
    </w:p>
    <w:p>
      <w:pPr>
        <w:pStyle w:val="Normal"/>
      </w:pPr>
      <w:r>
        <w:t xml:space="preserve">待核验：关联清单 PROP-01；建议交易处置：COVENANT（见补件问询 ）</w:t>
      </w:r>
    </w:p>
    <w:p>
      <w:pPr>
        <w:pStyle w:val="Heading2"/>
      </w:pPr>
      <w:r>
        <w:rPr>
          <w:b/>
        </w:rPr>
        <w:t xml:space="preserve">K-12　近年年度报告与合规处罚专项说明待补　[LOW / RFI]</w:t>
      </w:r>
    </w:p>
    <w:p>
      <w:pPr>
        <w:pStyle w:val="Normal"/>
      </w:pPr>
      <w:r>
        <w:t xml:space="preserve">事实：近三年年度报告、经营异常名单与行政处罚专项说明待提供。</w:t>
      </w:r>
    </w:p>
    <w:p>
      <w:pPr>
        <w:pStyle w:val="Normal"/>
      </w:pPr>
      <w:r>
        <w:t xml:space="preserve">证据：01_主体资格及历史沿革__01.1_登记事项及关键变更档案_20260710｜正文</w:t>
      </w:r>
    </w:p>
    <w:p>
      <w:pPr>
        <w:pStyle w:val="Normal"/>
      </w:pPr>
      <w:r>
        <w:t xml:space="preserve">影响：主体存续与合规状态待独立核验。</w:t>
      </w:r>
    </w:p>
    <w:p>
      <w:pPr>
        <w:pStyle w:val="Normal"/>
      </w:pPr>
      <w:r>
        <w:t xml:space="preserve">待核验：关联清单 CORP-07、REG-02；建议交易处置：RFI（见补件问询 F-06）</w:t>
      </w:r>
    </w:p>
    <w:p>
      <w:pPr>
        <w:pStyle w:val="Heading1"/>
      </w:pPr>
      <w:r>
        <w:rPr>
          <w:b/>
        </w:rPr>
        <w:t xml:space="preserve">六、优先补件与下一步</w:t>
      </w:r>
    </w:p>
    <w:p>
      <w:pPr>
        <w:pStyle w:val="Normal"/>
      </w:pPr>
      <w:r>
        <w:t xml:space="preserve">P0（交易先决/必须于交割前解决）：</w:t>
      </w:r>
    </w:p>
    <w:p>
      <w:pPr>
        <w:pStyle w:val="Normal"/>
      </w:pPr>
      <w:r>
        <w:t xml:space="preserve">• F-01（股权）：统一并更正股权比例，以登记机关备案文本为准，提供更正说明与转让对价支付凭证。　责任方：董事会办公室/法务；时点：交割前（先决）</w:t>
      </w:r>
    </w:p>
    <w:p>
      <w:pPr>
        <w:pStyle w:val="Normal"/>
      </w:pPr>
      <w:r>
        <w:t xml:space="preserve">• F-02（股权）：提供全额验资报告与银行入账凭证，确认实缴与出资期限。　责任方：财务/法务；时点：交割前</w:t>
      </w:r>
    </w:p>
    <w:p>
      <w:pPr>
        <w:pStyle w:val="Normal"/>
      </w:pPr>
      <w:r>
        <w:t xml:space="preserve">• F-03（知识产权）：将核心IP转回/独占许可并办理权属变更登记，提供转让/许可协议。　责任方：研发中心/法务；时点：交割前（先决）</w:t>
      </w:r>
    </w:p>
    <w:p>
      <w:pPr>
        <w:pStyle w:val="Normal"/>
      </w:pPr>
      <w:r>
        <w:t xml:space="preserve">• F-04（治理）：补正董事会决议法定人数瑕疵或取得贷款人确认。　责任方：法务；时点：签约前</w:t>
      </w:r>
    </w:p>
    <w:p>
      <w:pPr>
        <w:pStyle w:val="Normal"/>
      </w:pPr>
      <w:r>
        <w:t xml:space="preserve">• F-05（重大合同）：就控制权变更取得核心客户、贷款人与出租方确认或豁免，纳入交易承诺。　责任方：法务/业务；时点：交易前</w:t>
      </w:r>
    </w:p>
    <w:p>
      <w:pPr>
        <w:pStyle w:val="Normal"/>
      </w:pPr>
      <w:r>
        <w:t xml:space="preserve">• F-06（业务资质）：取得增值电信许可证续期证明或评估无证经营影响。　责任方：法务合规；时点：交割前（先决）</w:t>
      </w:r>
    </w:p>
    <w:p>
      <w:pPr>
        <w:pStyle w:val="Normal"/>
      </w:pPr>
      <w:r>
        <w:t xml:space="preserve">• F-07（劳动人事）：交割前完成CTO等核心人员劳动合同及IP协议签署，或作为陈述保证/先决。　责任方：HR/法务；时点：交割前</w:t>
      </w:r>
    </w:p>
    <w:p>
      <w:pPr>
        <w:pStyle w:val="Normal"/>
      </w:pPr>
      <w:r>
        <w:t xml:space="preserve">P1（签约前澄清/补正）：</w:t>
      </w:r>
    </w:p>
    <w:p>
      <w:pPr>
        <w:pStyle w:val="Normal"/>
      </w:pPr>
      <w:r>
        <w:t xml:space="preserve">• F-08（数据合规）：澄清境外（新加坡）部署资源的数据属性与出境合规：列明跨境传输字段、接收方与目的，提供告知同意记录、与境外接收方签订的标准合同/安全评估及个人信息保护影响评估（PIA）文件。　责任方：法务合规</w:t>
      </w:r>
    </w:p>
    <w:p>
      <w:pPr>
        <w:pStyle w:val="Normal"/>
      </w:pPr>
      <w:r>
        <w:t xml:space="preserve">• F-09（争议债务）：将遗漏索赔补入争议/或有负债清单并说明原因，纳入赔偿事项。　责任方：法务</w:t>
      </w:r>
    </w:p>
    <w:p>
      <w:pPr>
        <w:pStyle w:val="Normal"/>
      </w:pPr>
      <w:r>
        <w:t xml:space="preserve">• F-10（重大合同）：提供前十大客户/供应商主协议、订单及收入/采购占比明细。　责任方：财务/业务</w:t>
      </w:r>
    </w:p>
    <w:p>
      <w:pPr>
        <w:pStyle w:val="Normal"/>
      </w:pPr>
      <w:r>
        <w:t xml:space="preserve">• F-11（知识产权）：完成开源AGPL/SSPL专项法务复核并闭环（修改后网络提供义务）。　责任方：研发中心/法务</w:t>
      </w:r>
    </w:p>
    <w:p>
      <w:pPr>
        <w:pStyle w:val="Normal"/>
      </w:pPr>
      <w:r>
        <w:t xml:space="preserve">• F-12（劳动人事）：补充员工手册民主公示记录与关键员工IP/竞业限制签署版。　责任方：HR</w:t>
      </w:r>
    </w:p>
    <w:p>
      <w:pPr>
        <w:pStyle w:val="Normal"/>
      </w:pPr>
      <w:r>
        <w:t xml:space="preserve">• F-19（公司治理）：提供法定代表人/印章/网银U盾管理制度与用印台账。　责任方：行政/法务</w:t>
      </w:r>
    </w:p>
    <w:p>
      <w:pPr>
        <w:pStyle w:val="Normal"/>
      </w:pPr>
      <w:r>
        <w:t xml:space="preserve">• F-20（公司治理）：提供尚未执行完毕或影响本次交易的股东会/董事会决议及授权文件。　责任方：董事会办公室</w:t>
      </w:r>
    </w:p>
    <w:p>
      <w:pPr>
        <w:pStyle w:val="Heading1"/>
      </w:pPr>
      <w:r>
        <w:rPr>
          <w:b/>
        </w:rPr>
        <w:t xml:space="preserve">七、范围限制和人工复核提示</w:t>
      </w:r>
    </w:p>
    <w:p>
      <w:pPr>
        <w:pStyle w:val="Normal"/>
      </w:pPr>
      <w:r>
        <w:t xml:space="preserve">1) 本摘要基于第一轮资料（VDR v0.6）作出，部分历史档案、股东协议、数据出境与保险材料仍在补充；2) 含“资料冲突/未满足/高风险”的项及全部P0补件均建议项目律师人工复核；3) 本成果为买方律师团队支持性分析，不构成正式法律意见，不替代对登记机关、主管机关及相对方的独立核验；4) 全部主体、合同、账号、地址与交易数据均为虚构合成信息，未关联任何真实主体；5) 未见证据的事项已写入“资料缺口/待提供”，未将“未提供”表述为违法或无效。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before="240" w:after="120"/>
    </w:pPr>
    <w:rPr>
      <w:b/>
      <w:sz w:val="32"/>
    </w:rPr>
  </w:style>
  <w:style w:type="paragraph" w:styleId="Heading1">
    <w:name w:val="Heading1"/>
    <w:basedOn w:val="Normal"/>
    <w:pPr>
      <w:spacing w:before="200" w:after="80"/>
      <w:outlineLvl w:val="0"/>
    </w:pPr>
    <w:rPr>
      <w:b/>
      <w:sz w:val="26"/>
    </w:rPr>
  </w:style>
  <w:style w:type="paragraph" w:styleId="Heading2">
    <w:name w:val="Heading2"/>
    <w:basedOn w:val="Normal"/>
    <w:pPr>
      <w:spacing w:before="160" w:after="60"/>
      <w:outlineLvl w:val="1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