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sz w:val="48"/>
          <w:szCs w:val="48"/>
        </w:rPr>
        <w:t xml:space="preserve">RELATÓRIO DE USABILIDADE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Classificador Automático de Emails — AutoU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Análise de usabilidade, heurísticas de Nielsen, navegação, layout e conformidade com as normas ISO/IEC 15504 e ISO/IEC 42001</w:t>
      </w:r>
    </w:p>
    <w:p>
      <w:pPr>
        <w:spacing w:after="60"/>
        <w:jc w:val="center"/>
      </w:pPr>
      <w:r>
        <w:rPr>
          <w:sz w:val="22"/>
          <w:szCs w:val="22"/>
        </w:rPr>
        <w:t xml:space="preserve">Versão 1.0</w:t>
      </w:r>
    </w:p>
    <w:p>
      <w:pPr>
        <w:spacing w:after="60"/>
        <w:jc w:val="center"/>
      </w:pPr>
      <w:r>
        <w:rPr>
          <w:sz w:val="20"/>
          <w:szCs w:val="20"/>
        </w:rPr>
        <w:t xml:space="preserve">Repositório: github.com/vicloh/Classificador-de-Email</w:t>
      </w:r>
    </w:p>
    <w:p>
      <w:pPr>
        <w:jc w:val="center"/>
      </w:pPr>
      <w:r>
        <w:rPr>
          <w:sz w:val="20"/>
          <w:szCs w:val="20"/>
        </w:rPr>
        <w:t xml:space="preserve">Aplicação: classificador-emails-9c0b.onrender.com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 e Visão Geral do Sistema</w:t>
      </w:r>
    </w:p>
    <w:p>
      <w:pPr>
        <w:spacing w:after="140" w:line="276"/>
        <w:jc w:val="both"/>
      </w:pPr>
      <w:r>
        <w:rPr>
          <w:b/>
          <w:bCs/>
        </w:rPr>
        <w:t xml:space="preserve">Objetivo deste relatório. </w:t>
      </w:r>
      <w:r>
        <w:t xml:space="preserve">Este documento avalia a usabilidade do sistema </w:t>
      </w:r>
      <w:r>
        <w:rPr>
          <w:b/>
          <w:bCs/>
        </w:rPr>
        <w:t xml:space="preserve">Classificador Automático de Emails</w:t>
      </w:r>
      <w:r>
        <w:t xml:space="preserve">, desenvolvido para o Processo Seletivo da AutoU. A análise considera três fontes complementares: (1) o código-fonte do repositório, (2) o Modelo de Caso de Uso (MCU) e o Documento de Experiência do Usuário, e (3) os protótipos de interface de alta fidelidade. A partir desse material, são aplicados princípios de usabilidade e as heurísticas de Nielsen, explicada a navegação e o layout, apresentado um relatório breve de achados e, por fim, discutida a aderência às normas ISO/IEC 15504 e ISO/IEC 42001.</w:t>
      </w:r>
    </w:p>
    <w:p>
      <w:pPr>
        <w:spacing w:after="140" w:line="276"/>
        <w:jc w:val="both"/>
      </w:pPr>
      <w:r>
        <w:rPr>
          <w:b/>
          <w:bCs/>
        </w:rPr>
        <w:t xml:space="preserve">O que o sistema faz. </w:t>
      </w:r>
      <w:r>
        <w:t xml:space="preserve">Trata-se de uma aplicação web de triagem que classifica mensagens de email como </w:t>
      </w:r>
      <w:r>
        <w:rPr>
          <w:b/>
          <w:bCs/>
        </w:rPr>
        <w:t xml:space="preserve">Produtivas</w:t>
      </w:r>
      <w:r>
        <w:t xml:space="preserve"> (exigem ação — solicitações, dúvidas, problemas, reclamações) ou </w:t>
      </w:r>
      <w:r>
        <w:rPr>
          <w:b/>
          <w:bCs/>
        </w:rPr>
        <w:t xml:space="preserve">Improdutivas</w:t>
      </w:r>
      <w:r>
        <w:t xml:space="preserve"> (não exigem ação — agradecimentos, felicitações, spam, informativos), além de gerar automaticamente uma sugestão de resposta. A classificação usa a API Google Gemini, e a categoria final é consolidada por uma regra de negócio escrita em Python puro, garantindo previsibilidade e auditabilidade.</w:t>
      </w:r>
    </w:p>
    <w:p>
      <w:pPr>
        <w:pStyle w:val="Heading2"/>
      </w:pPr>
      <w:r>
        <w:t xml:space="preserve">1.1 Arquitetura 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Tecnologia / Decisão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FastAPI; endpoint /classify recebe texto e/ou arquivo.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Inteligência Artificial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 (gemini-flash-latest), com saída forçada em JSON.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CSS3 + JavaScript Vanilla, servido na rota raiz (/).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Processamento de arquivos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pdfplumber para PDF; leitura direta para .txt. NLTK presente para evolução futura.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Regra de negócio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Categoria final = Improdutivo somente se todos os conteúdos forem improdutivos; caso contrário, Produtivo (fallback seguro).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Implantação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(plano gratuito), com cold start de 30–60 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MVP implementado x Visão do protótipo</w:t>
      </w:r>
    </w:p>
    <w:p>
      <w:pPr>
        <w:spacing w:after="140" w:line="276"/>
        <w:jc w:val="both"/>
      </w:pPr>
      <w:r>
        <w:t xml:space="preserve">Um ponto relevante para a análise é a </w:t>
      </w:r>
      <w:r>
        <w:rPr>
          <w:b/>
          <w:bCs/>
        </w:rPr>
        <w:t xml:space="preserve">distância entre o produto implementado e o protótipo de alta fidelidade</w:t>
      </w:r>
      <w:r>
        <w:t xml:space="preserve">. O frontend real (arquivo index.html) é uma </w:t>
      </w:r>
      <w:r>
        <w:rPr>
          <w:b/>
          <w:bCs/>
        </w:rPr>
        <w:t xml:space="preserve">página única</w:t>
      </w:r>
      <w:r>
        <w:t xml:space="preserve">: um campo de texto, uma área de upload, os botões “Classificar Email” e “Limpar Formulário”, um indicador de carregamento e uma área de resultado com selo de categoria (verde/vermelho) e a sugestão de resposta. Já os protótipos do Figma apresentam um produto bem mais maduro, com tela de login, painel com métricas, configuração de modelos de IA e uma tela de resultado rica em informações.</w:t>
      </w:r>
    </w:p>
    <w:p>
      <w:pPr>
        <w:spacing w:after="140" w:line="276"/>
        <w:jc w:val="both"/>
      </w:pPr>
      <w:r>
        <w:t xml:space="preserve">Essa diferença não é uma falha: o MVP cumpre o escopo do desafio de forma enxuta, enquanto o protótipo descreve a </w:t>
      </w:r>
      <w:r>
        <w:rPr>
          <w:b/>
          <w:bCs/>
        </w:rPr>
        <w:t xml:space="preserve">direção de evolução do produto</w:t>
      </w:r>
      <w:r>
        <w:t xml:space="preserve">. Ao longo deste relatório, as duas camadas são avaliadas em conjunto — o que já existe e o que o protótipo propõe — para que as recomendações sejam úteis tanto para o estado atual quanto para os próximos passos.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Tela do protótipo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Função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Relação com o código atual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(“Acessar sua conta”)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Autenticação por email/senha ou Google.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implementada; aplicação atual é aberta na rota /.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Painel / Análise Atual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Métricas (total processado, % produtivo/improdutivo) e formulário de nova classificação.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Formulário corresponde ao index.html; métricas são visão futura.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Análise Concluída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Status, score de confiança, raciocínio da IA, conteúdo original e sugestão de resposta.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Versão enriquecida da área de resultado já existente (selo + sugestão).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Configuração de Modelos de IA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Escolha de modelo, temperatura, top-p, contexto e privacidade.</w:t>
            </w:r>
          </w:p>
        </w:tc>
        <w:tc>
          <w:tcPr>
            <w:tcW w:type="dxa" w:w="3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implementada; representa governança/ajuste futuro do motor de IA.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Aplicação dos Princípios de Usabilidade</w:t>
      </w:r>
    </w:p>
    <w:p>
      <w:pPr>
        <w:spacing w:after="140" w:line="276"/>
        <w:jc w:val="both"/>
      </w:pPr>
      <w:r>
        <w:t xml:space="preserve">A usabilidade é avaliada aqui pelos atributos clássicos de Jakob Nielsen — </w:t>
      </w:r>
      <w:r>
        <w:rPr>
          <w:b/>
          <w:bCs/>
        </w:rPr>
        <w:t xml:space="preserve">facilidade de aprendizado, eficiência, memorabilidade, prevenção/recuperação de erros e satisfação</w:t>
      </w:r>
      <w:r>
        <w:t xml:space="preserve"> — complementados por princípios de design de interação amplamente aceitos. A seguir, cada princípio é relacionado a evidências concretas do sistema.</w:t>
      </w:r>
    </w:p>
    <w:p>
      <w:pPr>
        <w:pStyle w:val="Heading2"/>
      </w:pPr>
      <w:r>
        <w:t xml:space="preserve">2.1 Facilidade de aprendizado (Learnability)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 fluxo principal é direto: colar o texto e/ou anexar um arquivo, clicar em “Classificar Email” e ler o resultado. O Documento de UX estabelece a meta de no máximo 3 cliques por classificação, o que reduz a curva de aprendizado.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Rótulos explícitos (“Insira o corpo do Email”, “Ou faça upload de um arquivo (.txt ou .pdf)”) e placeholder no campo de texto orientam o usuário sem necessidade de treinamento.</w:t>
      </w:r>
    </w:p>
    <w:p>
      <w:pPr>
        <w:pStyle w:val="Heading2"/>
      </w:pPr>
      <w:r>
        <w:t xml:space="preserve">2.2 Eficiência de uso (Efficiency)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Entrada flexível: texto, arquivo ou ambos simultaneamente, evitando que o usuário se adapte ao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geração automática da resposta e (no protótipo) o botão “Copiar Resposta” encurtam a tarefa de atendimento, transformando triagem + redação em poucos passos.</w:t>
      </w:r>
    </w:p>
    <w:p>
      <w:pPr>
        <w:pStyle w:val="Heading2"/>
      </w:pPr>
      <w:r>
        <w:t xml:space="preserve">2.3 Memorabilidade (Memorability)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Interface minimalista e estável: um único padrão de interação (formulário → resultado) que o usuário reencontra a cada visita.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Convenções visuais consistentes (verde = Produtivo, vermelho = Improdutivo) tornam o significado fácil de relembrar.</w:t>
      </w:r>
    </w:p>
    <w:p>
      <w:pPr>
        <w:pStyle w:val="Heading2"/>
      </w:pPr>
      <w:r>
        <w:t xml:space="preserve">2.4 Prevenção e recuperação de erros (Error handling)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Validação de entrada vazia (HTTP 400) e de formato de arquivo (apenas .txt e .pdf) impede operações inválidas antes do processamento.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Mensagens de erro persistentes: não desaparecem automaticamente, permanecendo visíveis até o usuário interagir novamente — decisão explícita no código (evento que só oculta o erro ao digitar ou trocar o arquivo).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Fallback seguro: se a IA falha, o sistema assume “Produtivo” e usa respostas padrão, evitando travamento e perda de continuidade.</w:t>
      </w:r>
    </w:p>
    <w:p>
      <w:pPr>
        <w:pStyle w:val="Heading2"/>
      </w:pPr>
      <w:r>
        <w:t xml:space="preserve">2.5 Satisfação (Satisfaction)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Feedback visual imediato: indicador de carregamento e bloqueio dos campos durante o processamento comunicam que o sistema está trabalhando.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Estética cuidada (tipografia Inter, cantos arredondados, transições suaves) e, no protótipo, score de confiança e “Raciocínio da IA” aumentam a confiança e a sensação de controle.</w:t>
      </w:r>
    </w:p>
    <w:p>
      <w:pPr>
        <w:pStyle w:val="Heading2"/>
      </w:pPr>
      <w:r>
        <w:t xml:space="preserve">2.6 Princípios complementares de design de interação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Princípio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 o sistema atende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Visibilidade do estado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Loading, campos desabilitados durante o processamento e área de resultado que aparece com animação.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Feedback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 ação gera resposta perceptível: sucesso (selo + sugestão), erro (alerta persistente) ou carregamento.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Consistência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Padrão único de cores, botões e tipografia em toda a interface.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Flexibilidade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Múltiplos caminhos de entrada (texto, arquivo, ambos) atendem usuários novatos e experientes.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Minimalismo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Apenas os controles essenciais são exibidos, sem poluição visual.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Controle do usuário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“Limpar Formulário” devolve o sistema ao estado inicial a qualquer momento.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Heurísticas de Nielsen Utilizadas</w:t>
      </w:r>
    </w:p>
    <w:p>
      <w:pPr>
        <w:spacing w:after="140" w:line="276"/>
        <w:jc w:val="both"/>
      </w:pPr>
      <w:r>
        <w:t xml:space="preserve">As dez heurísticas de Nielsen foram usadas como referência para avaliar a interface. A tabela abaixo relaciona cada heurística à sua aplicação no sistema (código e/ou protótipo) e indica o grau de atendimento.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Heurística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Aplicação no sistema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Atendimento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Visibilidade do status do sistema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Indicador de carregamento (“Processando email...”), campos desabilitados durante o processo e, no protótipo, status “Analisando” e score de confiança.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Correspondência com o mundo real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Linguagem do domínio do usuário (“Produtivo”/“Improdutivo”, “Triagem de Emails”); ícone de envelope; ordem natural de leitura.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Controle e liberdade do usuário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“Limpar Formulário” para recomeçar; no protótipo, “Editar” e “Reanalisar” a sugestão.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Consistência e padrões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Cores, botões, bordas e tipografia uniformes; convenção verde/vermelho mantida em todas as telas.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Prevenção de erros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de entrada vazia e de formato de arquivo antes de qualquer processamento; aceita texto OU arquivo OU ambos.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Reconhecimento em vez de memorização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Rótulos e placeholders visíveis; formatos aceitos exibidos junto ao upload; resultado e sugestão visíveis na tela.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Flexibilidade e eficiência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 combinada (texto + arquivo); no protótipo, ajustes avançados de modelo e “Copiar Resposta” para usuários experientes.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 Estética e design minimalista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limpo, foco no essencial, espaçamento generoso; sem elementos supérfluos.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 Ajuda na recuperação de erros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Mensagens descritivas e persistentes (ex.: “somente .txt e .pdf são aceitos”) que orientam a correção.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Forte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 Ajuda e documentação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detalhado e link “Central de Ajuda” no protótipo; ausente na interface implementada (oportunidade de melhoria).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 / Parcial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b/>
          <w:bCs/>
        </w:rPr>
        <w:t xml:space="preserve">Leitura geral. </w:t>
      </w:r>
      <w:r>
        <w:t xml:space="preserve">O sistema atende com solidez as heurísticas centrais de feedback, consistência, prevenção de erros e minimalismo. As maiores oportunidades estão nas heurísticas 7 e 10: na interface implementada faltam atalhos para usuários avançados e ajuda contextual; o protótipo já aponta o caminho ao prever ajustes de modelo, “Copiar Resposta” e Central de Ajuda.</w:t>
      </w:r>
    </w:p>
    <w:p>
      <w:r>
        <w:br w:type="page"/>
      </w:r>
    </w:p>
    <w:p>
      <w:pPr>
        <w:pStyle w:val="Heading1"/>
      </w:pPr>
      <w:r>
        <w:t xml:space="preserve">4. Explicação da Navegação e do Layout</w:t>
      </w:r>
    </w:p>
    <w:p>
      <w:pPr>
        <w:pStyle w:val="Heading2"/>
      </w:pPr>
      <w:r>
        <w:t xml:space="preserve">4.1 Navegação da aplicação implementada</w:t>
      </w:r>
    </w:p>
    <w:p>
      <w:pPr>
        <w:spacing w:after="140" w:line="276"/>
        <w:jc w:val="both"/>
      </w:pPr>
      <w:r>
        <w:t xml:space="preserve">A aplicação real é uma </w:t>
      </w:r>
      <w:r>
        <w:rPr>
          <w:b/>
          <w:bCs/>
        </w:rPr>
        <w:t xml:space="preserve">Single Page Application</w:t>
      </w:r>
      <w:r>
        <w:t xml:space="preserve"> simples: não há roteamento entre páginas. Todo o fluxo acontece em uma só tela, organizada de cima para baixo — título, campo de texto, área de upload, botões e, abaixo, a área de resultado que surge após a classificação. A “navegação” é, portanto, um fluxo linear de estados: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Estado inicial: formulário vazio.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Preenchimento: usuário insere texto e/ou anexa arquivo.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Processando: campos bloqueados e indicador de carregamento.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Resultado: selo de categoria + sugestão de resposta, ou alerta de erro persistente.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Reinício: botão “Limpar Formulário” retorna ao estado inicial.</w:t>
      </w:r>
    </w:p>
    <w:p>
      <w:pPr>
        <w:pStyle w:val="Heading2"/>
      </w:pPr>
      <w:r>
        <w:t xml:space="preserve">4.2 Navegação proposta no protótipo</w:t>
      </w:r>
    </w:p>
    <w:p>
      <w:pPr>
        <w:spacing w:after="140" w:line="276"/>
        <w:jc w:val="both"/>
      </w:pPr>
      <w:r>
        <w:t xml:space="preserve">O protótipo introduz uma </w:t>
      </w:r>
      <w:r>
        <w:rPr>
          <w:b/>
          <w:bCs/>
        </w:rPr>
        <w:t xml:space="preserve">arquitetura de navegação multi-tela</w:t>
      </w:r>
      <w:r>
        <w:t xml:space="preserve">, típica de uma aplicação SaaS, com uma barra lateral fixa e uma barra superior: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Barra lateral: </w:t>
      </w:r>
      <w:r>
        <w:t xml:space="preserve">Painel, Análise, Histórico, Configurações, além de “Nova Análise” e “Central de Ajuda”.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Barra superior: </w:t>
      </w:r>
      <w:r>
        <w:t xml:space="preserve">alternância entre “Painel” e “Análise Atual”, notificações, ajuda e perfil do usuário.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Breadcrumbs: </w:t>
      </w:r>
      <w:r>
        <w:t xml:space="preserve">caminhos como “Configurações › Gerenciamento de Modelos” e “Painel › Resultado da Classificação” reforçam a localização do usuário.</w:t>
      </w:r>
    </w:p>
    <w:p>
      <w:pPr>
        <w:spacing w:after="140" w:line="276"/>
        <w:jc w:val="both"/>
      </w:pPr>
      <w:r>
        <w:t xml:space="preserve">O fluxo previsto é: </w:t>
      </w:r>
      <w:r>
        <w:rPr>
          <w:b/>
          <w:bCs/>
        </w:rPr>
        <w:t xml:space="preserve">Login → Painel/Análise → (envio do email) → Análise Concluída</w:t>
      </w:r>
      <w:r>
        <w:t xml:space="preserve">, com acesso paralelo a Histórico e Configurações. Essa estrutura melhora a escalabilidade do produto e a heurística de controle e liberdade, ao custo de maior complexidade — que deve ser introduzida de forma incremental.</w:t>
      </w:r>
    </w:p>
    <w:p>
      <w:pPr>
        <w:pStyle w:val="Heading2"/>
      </w:pPr>
      <w:r>
        <w:t xml:space="preserve">4.3 Layout e hierarquia visual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Implementação: </w:t>
      </w:r>
      <w:r>
        <w:t xml:space="preserve">contêiner centralizado de largura máxima (800 px) sobre fundo em gradiente, cartão branco com sombra, tipografia Inter e cantos arredondados. A hierarquia é clara — título em destaque, rótulos, campos e botões em sequência vertical.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Protótipo: </w:t>
      </w:r>
      <w:r>
        <w:t xml:space="preserve">layout em grade com cartões de métrica no topo, área de trabalho central e painel lateral de ajustes (na tela de configuração). O uso de selos, ícones e blocos bem separados (“Conteúdo Original”, “Raciocínio da IA”, “Sugestão de Resposta”) organiza a leitura por blocos de significado.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Responsividade: </w:t>
      </w:r>
      <w:r>
        <w:t xml:space="preserve">o CSS define um breakpoint (max-width 600px) que empilha os botões e ajusta tipografia; o Documento de UX exige usabilidade a partir de 320px de largura.</w:t>
      </w:r>
    </w:p>
    <w:p>
      <w:r>
        <w:br w:type="page"/>
      </w:r>
    </w:p>
    <w:p>
      <w:pPr>
        <w:pStyle w:val="Heading1"/>
      </w:pPr>
      <w:r>
        <w:t xml:space="preserve">5. Relatório Breve de Usabilidade</w:t>
      </w:r>
    </w:p>
    <w:p>
      <w:pPr>
        <w:pStyle w:val="Heading2"/>
      </w:pPr>
      <w:r>
        <w:t xml:space="preserve">5.1 Pontos fortes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Fluxo curto e objetivo (meta de até 3 cliques), com baixa curva de aprendizado.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Feedback consistente em todos os estados (carregando, sucesso, erro).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Tratamento de erros maduro: mensagens persistentes e descritivas, e fallback seguro que evita travamentos.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Entrada flexível (texto, arquivo ou ambos) e regra de negócio transparente e auditável.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Privacidade por design: arquivos processados em memória, sem armazenamento no servidor.</w:t>
      </w:r>
    </w:p>
    <w:p>
      <w:pPr>
        <w:pStyle w:val="Heading2"/>
      </w:pPr>
      <w:r>
        <w:t xml:space="preserve">5.2 Oportunidades de melhoria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Recomendação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Ausência de botão “Copiar” para a sugestão na interface implementada.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Adicionar copiar-para-área-de-transferência com confirmação visual (já previsto no protótipo).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 start de 30–60 s no Render sem aviso claro na primeira visita.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Exibir mensagem de “inicializando” na primeira carga, conforme prevê o Documento de UX.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Falta de ajuda contextual e de rótulos de acessibilidade (aria) explícitos.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Incluir tooltips/Central de Ajuda e atributos ARIA para leitores de tela.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indicação de progresso para arquivos grandes ou PDFs longos.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Mostrar etapa atual (extraindo texto, classificando, gerando resposta).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Confiança da classificação não exibida na versão implementada.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Baixa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Trazer o score de confiança e o “raciocínio” do protótipo para a tela real.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Conclusão da avaliação</w:t>
      </w:r>
    </w:p>
    <w:p>
      <w:pPr>
        <w:spacing w:after="140" w:line="276"/>
        <w:jc w:val="both"/>
      </w:pPr>
      <w:r>
        <w:t xml:space="preserve">O sistema apresenta </w:t>
      </w:r>
      <w:r>
        <w:rPr>
          <w:b/>
          <w:bCs/>
        </w:rPr>
        <w:t xml:space="preserve">boa usabilidade para o seu escopo</w:t>
      </w:r>
      <w:r>
        <w:t xml:space="preserve">: a interface é clara, o feedback é adequado e o tratamento de erros é cuidadoso. As melhorias sugeridas são, em sua maioria, de severidade baixa a média e já estão antecipadas pelo protótipo, o que indica maturidade na visão de produto. A evolução recomendada é incremental — incorporar à interface real os elementos do protótipo que mais agregam valor percebido (copiar resposta, score/raciocínio, aviso de cold start e ajuda contextual), sem comprometer a simplicidade que hoje é um dos seus maiores trunfos.</w:t>
      </w:r>
    </w:p>
    <w:p>
      <w:r>
        <w:br w:type="page"/>
      </w:r>
    </w:p>
    <w:p>
      <w:pPr>
        <w:pStyle w:val="Heading1"/>
      </w:pPr>
      <w:r>
        <w:t xml:space="preserve">6. Conformidade com Normas ISO</w:t>
      </w:r>
    </w:p>
    <w:p>
      <w:pPr>
        <w:spacing w:after="140" w:line="276"/>
        <w:jc w:val="both"/>
      </w:pPr>
      <w:r>
        <w:t xml:space="preserve">Esta seção relaciona o projeto a duas normas pertinentes: a </w:t>
      </w:r>
      <w:r>
        <w:rPr>
          <w:b/>
          <w:bCs/>
        </w:rPr>
        <w:t xml:space="preserve">ISO/IEC 15504</w:t>
      </w:r>
      <w:r>
        <w:t xml:space="preserve">, voltada à qualidade do processo de software, e a </w:t>
      </w:r>
      <w:r>
        <w:rPr>
          <w:b/>
          <w:bCs/>
        </w:rPr>
        <w:t xml:space="preserve">ISO/IEC 42001</w:t>
      </w:r>
      <w:r>
        <w:t xml:space="preserve">, voltada à gestão responsável de sistemas de Inteligência Artificial — diretamente aplicável, já que o produto usa IA no seu núcleo.</w:t>
      </w:r>
    </w:p>
    <w:p>
      <w:pPr>
        <w:pStyle w:val="Heading2"/>
      </w:pPr>
      <w:r>
        <w:t xml:space="preserve">6.1 ISO/IEC 15504 (SPICE) — Avaliação e melhoria de processo de software</w:t>
      </w:r>
    </w:p>
    <w:p>
      <w:pPr>
        <w:spacing w:after="140" w:line="276"/>
        <w:jc w:val="both"/>
      </w:pPr>
      <w:r>
        <w:t xml:space="preserve">A ISO/IEC 15504, conhecida como </w:t>
      </w:r>
      <w:r>
        <w:rPr>
          <w:b/>
          <w:bCs/>
        </w:rPr>
        <w:t xml:space="preserve">SPICE (Software Process Improvement and Capability dEtermination)</w:t>
      </w:r>
      <w:r>
        <w:t xml:space="preserve">, define um modelo para avaliar a capacidade dos processos de desenvolvimento de software. Ela organiza a maturidade em </w:t>
      </w:r>
      <w:r>
        <w:rPr>
          <w:b/>
          <w:bCs/>
        </w:rPr>
        <w:t xml:space="preserve">níveis de capacidade de 0 a 5</w:t>
      </w:r>
      <w:r>
        <w:t xml:space="preserve">: (0) Incompleto, (1) Executado, (2) Gerenciado, (3) Estabelecido, (4) Previsível e (5) Otimizado. A norma serviu de base para a família atual ISO/IEC 330xx.</w:t>
      </w:r>
    </w:p>
    <w:p>
      <w:pPr>
        <w:spacing w:after="140" w:line="276"/>
      </w:pPr>
      <w:r>
        <w:rPr>
          <w:b/>
          <w:bCs/>
        </w:rPr>
        <w:t xml:space="preserve">Aplicação ao projeto: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Nível 1 — Executado: </w:t>
      </w:r>
      <w:r>
        <w:t xml:space="preserve">o processo entrega o resultado esperado — a aplicação classifica emails e gera respostas, com produto publicado e demonstrável.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Nível 2 — Gerenciado: </w:t>
      </w:r>
      <w:r>
        <w:t xml:space="preserve">há artefatos de planejamento e controle: Documento de Requisitos (RF/RNF), Modelo de Caso de Uso (UC01–UC06) e Documento de UX, todos versionados e com histórico de revisão e autores identificados.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Indícios de Nível 3 — Estabelecido: </w:t>
      </w:r>
      <w:r>
        <w:t xml:space="preserve">rastreabilidade entre requisitos, casos de uso e implementação; regra de negócio documentada e replicada igual no MCU, no UX e no código; padrões de tratamento de erro e fallback definidos de forma consistente.</w:t>
      </w:r>
    </w:p>
    <w:p>
      <w:pPr>
        <w:spacing w:after="140" w:line="276"/>
        <w:jc w:val="both"/>
      </w:pPr>
      <w:r>
        <w:rPr>
          <w:b/>
          <w:bCs/>
        </w:rPr>
        <w:t xml:space="preserve">Recomendações para subir de nível: </w:t>
      </w:r>
      <w:r>
        <w:t xml:space="preserve">adicionar testes automatizados e métricas de processo (cobertura, taxa de acerto da classificação, tempo de resposta) levaria o projeto rumo aos níveis 4 (Previsível) e 5 (Otimizado), nos quais o desempenho é medido quantitativamente e melhorado de forma contínua.</w:t>
      </w:r>
    </w:p>
    <w:p>
      <w:pPr>
        <w:pStyle w:val="Heading2"/>
      </w:pPr>
      <w:r>
        <w:t xml:space="preserve">6.2 ISO/IEC 42001 — Sistema de Gestão de Inteligência Artificial (AIMS)</w:t>
      </w:r>
    </w:p>
    <w:p>
      <w:pPr>
        <w:spacing w:after="140" w:line="276"/>
        <w:jc w:val="both"/>
      </w:pPr>
      <w:r>
        <w:t xml:space="preserve">A ISO/IEC 42001:2023 é a primeira norma internacional para </w:t>
      </w:r>
      <w:r>
        <w:rPr>
          <w:b/>
          <w:bCs/>
        </w:rPr>
        <w:t xml:space="preserve">sistemas de gestão de IA</w:t>
      </w:r>
      <w:r>
        <w:t xml:space="preserve">. Ela estabelece requisitos para que organizações desenvolvam e operem IA de forma </w:t>
      </w:r>
      <w:r>
        <w:rPr>
          <w:b/>
          <w:bCs/>
        </w:rPr>
        <w:t xml:space="preserve">responsável, transparente e controlada</w:t>
      </w:r>
      <w:r>
        <w:t xml:space="preserve">, abordando governança, gestão de riscos, transparência, supervisão humana, governança de dados e o ciclo de vida do sistema de IA.</w:t>
      </w:r>
    </w:p>
    <w:p>
      <w:pPr>
        <w:spacing w:after="140" w:line="276"/>
      </w:pPr>
      <w:r>
        <w:rPr>
          <w:b/>
          <w:bCs/>
        </w:rPr>
        <w:t xml:space="preserve">Aderência observada no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Princípio da ISO/IEC 42001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Evidência no sistema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Transparência e explicabilidade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 protótipo exibe “Raciocínio da IA” e um score de confiança; a regra de categoria final é escrita em Python puro, sendo clara e auditável (não depende da interpretação da IA).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de riscos e robustez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seguro: em falha da IA, o sistema assume “Produtivo” e usa respostas padrão, evitando indisponibilidade e decisões silenciosamente erradas.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Supervisão humana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sugestão de resposta é um rascunho editável; o usuário decide a ação. O protótipo prevê “Editar” e “Reanalisar”, reforçando o controle humano.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Governança de dados e privacidade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Arquivos são processados em memória e não armazenados; a chave de API fica em variável de ambiente; o protótipo traz “Proteção de Privacidade Estrita” e link “Ética em IA”.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do ciclo de vida do modelo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tela de “Configuração de Modelos de IA” (seleção de modelo, temperatura, top-p, contexto) representa controle explícito sobre o comportamento do motor de IA.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Responsabilização (accountability)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Documentação de requisitos e casos de uso com autores e versões identificados estabelece rastreabilidade das decisões de projeto.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rPr>
          <w:b/>
          <w:bCs/>
        </w:rPr>
        <w:t xml:space="preserve">Recomendações de governança de IA: </w:t>
      </w:r>
      <w:r>
        <w:t xml:space="preserve">para se aproximar plenamente da ISO/IEC 42001, recomenda-se formalizar uma política de uso de IA, registrar avaliação de impacto e riscos do modelo, monitorar continuamente a qualidade das classificações e documentar como dados sensíveis (PII) são tratados — itens parcialmente antecipados pelo protótipo, mas ainda não implementados.</w:t>
      </w:r>
    </w:p>
    <w:p>
      <w:r>
        <w:br w:type="page"/>
      </w:r>
    </w:p>
    <w:p>
      <w:pPr>
        <w:pStyle w:val="Heading1"/>
      </w:pPr>
      <w:r>
        <w:t xml:space="preserve">7. Conclusão</w:t>
      </w:r>
    </w:p>
    <w:p>
      <w:pPr>
        <w:spacing w:after="140" w:line="276"/>
        <w:jc w:val="both"/>
      </w:pPr>
      <w:r>
        <w:t xml:space="preserve">O Classificador Automático de Emails entrega uma experiência </w:t>
      </w:r>
      <w:r>
        <w:rPr>
          <w:b/>
          <w:bCs/>
        </w:rPr>
        <w:t xml:space="preserve">simples, eficiente e confiável</w:t>
      </w:r>
      <w:r>
        <w:t xml:space="preserve"> para o seu propósito de triagem. Sob a ótica dos princípios de usabilidade e das heurísticas de Nielsen, destaca-se pelo feedback consistente, pela prevenção e recuperação de erros e pelo design minimalista. A navegação implementada é linear e de baixa carga cognitiva, enquanto o protótipo aponta uma evolução coerente para uma aplicação SaaS completa, com painel, histórico e governança de modelos.</w:t>
      </w:r>
    </w:p>
    <w:p>
      <w:pPr>
        <w:spacing w:after="140" w:line="276"/>
        <w:jc w:val="both"/>
      </w:pPr>
      <w:r>
        <w:t xml:space="preserve">Em relação às normas, o projeto demonstra um processo de software ao menos </w:t>
      </w:r>
      <w:r>
        <w:rPr>
          <w:b/>
          <w:bCs/>
        </w:rPr>
        <w:t xml:space="preserve">gerenciado, com indícios de estabelecido</w:t>
      </w:r>
      <w:r>
        <w:t xml:space="preserve"> (ISO/IEC 15504), graças à documentação rastreável e às regras bem definidas; e adota, na prática, vários princípios de </w:t>
      </w:r>
      <w:r>
        <w:rPr>
          <w:b/>
          <w:bCs/>
        </w:rPr>
        <w:t xml:space="preserve">IA responsável</w:t>
      </w:r>
      <w:r>
        <w:t xml:space="preserve"> (ISO/IEC 42001), como transparência, fallback seguro, supervisão humana e privacidade por design. As recomendações apresentadas — testes e métricas de processo, política e monitoramento de IA, e a incorporação gradual dos recursos do protótipo — formam um caminho claro de amadurecimento sem sacrificar a simplicidade que hoje é seu maior diferencial.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color w:val="808080"/>
        <w:sz w:val="16"/>
        <w:szCs w:val="16"/>
      </w:rPr>
      <w:t xml:space="preserve">Relatório de Usabilidade — Classificador Automático de Emails (AutoU)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Usabilidade - Classificador Automático de Emails</dc:title>
  <dc:creator>Relatório de Usabilidade</dc:creator>
  <cp:lastModifiedBy>Un-named</cp:lastModifiedBy>
  <cp:revision>1</cp:revision>
  <dcterms:created xsi:type="dcterms:W3CDTF">2026-06-17T02:43:44.516Z</dcterms:created>
  <dcterms:modified xsi:type="dcterms:W3CDTF">2026-06-17T02:43:44.516Z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