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C4E4E" w14:textId="067DA3F4" w:rsidR="009A321B" w:rsidRPr="009A321B" w:rsidRDefault="009A321B" w:rsidP="009A321B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AO</w:t>
      </w:r>
      <w:r w:rsidRPr="009A321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JUIZ</w:t>
      </w: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</w:t>
      </w:r>
      <w:r w:rsidRPr="009A321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DE DIREITO DO NÚCLEO DE JUSTIÇA DIGITAL DOS JUIZADOS ESPECIAIS CRIMINAIS DA COMARCA DE RONDONÓPOLIS/MT</w:t>
      </w:r>
    </w:p>
    <w:p w14:paraId="16CB3A39" w14:textId="77777777" w:rsidR="009A321B" w:rsidRDefault="009A321B" w:rsidP="009A321B">
      <w:pPr>
        <w:spacing w:after="0" w:line="36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4D621841" w14:textId="77777777" w:rsidR="009A321B" w:rsidRDefault="009A321B" w:rsidP="009A321B">
      <w:pPr>
        <w:spacing w:after="0" w:line="36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65A1A278" w14:textId="77777777" w:rsidR="009A321B" w:rsidRDefault="009A321B" w:rsidP="009A321B">
      <w:pPr>
        <w:spacing w:after="0" w:line="36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4F84CF51" w14:textId="47496482" w:rsidR="009A321B" w:rsidRPr="009A321B" w:rsidRDefault="009A321B" w:rsidP="009A321B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A321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Processo nº:</w:t>
      </w:r>
      <w:r w:rsidRPr="009A321B">
        <w:rPr>
          <w:rFonts w:ascii="Arial" w:eastAsia="Times New Roman" w:hAnsi="Arial" w:cs="Arial"/>
          <w:sz w:val="24"/>
          <w:szCs w:val="24"/>
          <w:lang w:eastAsia="pt-BR"/>
        </w:rPr>
        <w:t xml:space="preserve"> 1021520-08.2026.8.11.0001</w:t>
      </w:r>
    </w:p>
    <w:p w14:paraId="386E1463" w14:textId="77777777" w:rsidR="009A321B" w:rsidRDefault="009A321B" w:rsidP="009A321B">
      <w:pPr>
        <w:spacing w:after="0" w:line="36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0E88A178" w14:textId="77777777" w:rsidR="009A321B" w:rsidRDefault="009A321B" w:rsidP="009A321B">
      <w:pPr>
        <w:spacing w:after="0" w:line="36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6BD3AEE1" w14:textId="77777777" w:rsidR="009A321B" w:rsidRDefault="009A321B" w:rsidP="009A321B">
      <w:pPr>
        <w:spacing w:after="0" w:line="36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2DED46DC" w14:textId="2AA7361D" w:rsidR="009A321B" w:rsidRPr="009A321B" w:rsidRDefault="009A321B" w:rsidP="009A321B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A321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JOSÉ CARLOS MESQUITA DE CARVALHO</w:t>
      </w:r>
      <w:r w:rsidRPr="009A321B">
        <w:rPr>
          <w:rFonts w:ascii="Arial" w:eastAsia="Times New Roman" w:hAnsi="Arial" w:cs="Arial"/>
          <w:sz w:val="24"/>
          <w:szCs w:val="24"/>
          <w:lang w:eastAsia="pt-BR"/>
        </w:rPr>
        <w:t xml:space="preserve">, brasileiro, produtor rural, portador do RG nº 2.774.514-7 SSP/MT e do CPF nº 294.420.016-04, e </w:t>
      </w:r>
      <w:r w:rsidRPr="009A321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MARIA MORAIS ANICESIO DE CARVALHO</w:t>
      </w:r>
      <w:r w:rsidRPr="009A321B">
        <w:rPr>
          <w:rFonts w:ascii="Arial" w:eastAsia="Times New Roman" w:hAnsi="Arial" w:cs="Arial"/>
          <w:sz w:val="24"/>
          <w:szCs w:val="24"/>
          <w:lang w:eastAsia="pt-BR"/>
        </w:rPr>
        <w:t>, brasileira, residentes e domiciliados na Rua Treze de Maio, nº 820, Bairro Vila Aurora I, Rondonópolis/MT, vêm, por seu advogado que esta subscreve (procuração anexa), perante Vossa Excelência, com fundamento nos artigos 396 e 396-A do Código de Processo Penal, apresentar sua</w:t>
      </w:r>
    </w:p>
    <w:p w14:paraId="02C4246B" w14:textId="77777777" w:rsidR="009A321B" w:rsidRPr="009A321B" w:rsidRDefault="009A321B" w:rsidP="009A321B">
      <w:pPr>
        <w:spacing w:after="0" w:line="360" w:lineRule="auto"/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  <w:r w:rsidRPr="009A321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RESPOSTA À ACUSAÇÃO</w:t>
      </w:r>
    </w:p>
    <w:p w14:paraId="15A3079D" w14:textId="77777777" w:rsidR="009A321B" w:rsidRDefault="009A321B" w:rsidP="009A321B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9B5BCB7" w14:textId="2A67C49D" w:rsidR="009A321B" w:rsidRPr="009A321B" w:rsidRDefault="009A321B" w:rsidP="009A321B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A321B">
        <w:rPr>
          <w:rFonts w:ascii="Arial" w:eastAsia="Times New Roman" w:hAnsi="Arial" w:cs="Arial"/>
          <w:sz w:val="24"/>
          <w:szCs w:val="24"/>
          <w:lang w:eastAsia="pt-BR"/>
        </w:rPr>
        <w:t>pelas razões de fato e de direito a seguir expostas.</w:t>
      </w:r>
    </w:p>
    <w:p w14:paraId="77D50B77" w14:textId="77777777" w:rsidR="009A321B" w:rsidRDefault="009A321B" w:rsidP="009A321B">
      <w:pPr>
        <w:spacing w:after="0" w:line="360" w:lineRule="auto"/>
        <w:ind w:firstLine="1134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6A995618" w14:textId="19BE8141" w:rsidR="009A321B" w:rsidRDefault="009A321B" w:rsidP="009A321B">
      <w:pPr>
        <w:spacing w:after="0" w:line="36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A321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 - DOS FATOS</w:t>
      </w:r>
    </w:p>
    <w:p w14:paraId="3C7157E8" w14:textId="77777777" w:rsidR="009A321B" w:rsidRDefault="009A321B" w:rsidP="009A321B">
      <w:pPr>
        <w:spacing w:after="0" w:line="36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3BD8F67" w14:textId="0D0A98EC" w:rsidR="009A321B" w:rsidRPr="009A321B" w:rsidRDefault="009A321B" w:rsidP="009A321B">
      <w:pPr>
        <w:spacing w:after="0" w:line="36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A321B">
        <w:rPr>
          <w:rFonts w:ascii="Arial" w:eastAsia="Times New Roman" w:hAnsi="Arial" w:cs="Arial"/>
          <w:sz w:val="24"/>
          <w:szCs w:val="24"/>
          <w:lang w:eastAsia="pt-BR"/>
        </w:rPr>
        <w:t xml:space="preserve">O Ministério Público ofereceu denúncia em face dos Acusados, imputando-lhes a suposta prática do crime ambiental previsto no artigo 50 da Lei nº 9.605/1998, consistente em destruir vegetação nativa em uma área de 8,5839 hectares na Fazenda </w:t>
      </w:r>
      <w:proofErr w:type="spellStart"/>
      <w:r w:rsidRPr="009A321B">
        <w:rPr>
          <w:rFonts w:ascii="Arial" w:eastAsia="Times New Roman" w:hAnsi="Arial" w:cs="Arial"/>
          <w:sz w:val="24"/>
          <w:szCs w:val="24"/>
          <w:lang w:eastAsia="pt-BR"/>
        </w:rPr>
        <w:t>Manaaim</w:t>
      </w:r>
      <w:proofErr w:type="spellEnd"/>
      <w:r w:rsidRPr="009A321B">
        <w:rPr>
          <w:rFonts w:ascii="Arial" w:eastAsia="Times New Roman" w:hAnsi="Arial" w:cs="Arial"/>
          <w:sz w:val="24"/>
          <w:szCs w:val="24"/>
          <w:lang w:eastAsia="pt-BR"/>
        </w:rPr>
        <w:t xml:space="preserve">, localizada no município de </w:t>
      </w:r>
      <w:proofErr w:type="spellStart"/>
      <w:r w:rsidRPr="009A321B">
        <w:rPr>
          <w:rFonts w:ascii="Arial" w:eastAsia="Times New Roman" w:hAnsi="Arial" w:cs="Arial"/>
          <w:sz w:val="24"/>
          <w:szCs w:val="24"/>
          <w:lang w:eastAsia="pt-BR"/>
        </w:rPr>
        <w:t>Poxoréu</w:t>
      </w:r>
      <w:proofErr w:type="spellEnd"/>
      <w:r w:rsidRPr="009A321B">
        <w:rPr>
          <w:rFonts w:ascii="Arial" w:eastAsia="Times New Roman" w:hAnsi="Arial" w:cs="Arial"/>
          <w:sz w:val="24"/>
          <w:szCs w:val="24"/>
          <w:lang w:eastAsia="pt-BR"/>
        </w:rPr>
        <w:t>/MT, fato que teria ocorrido entre 28 de maio de 2024 e 06 de dezembro de 2024.</w:t>
      </w:r>
    </w:p>
    <w:p w14:paraId="0A333884" w14:textId="77777777" w:rsidR="009A321B" w:rsidRPr="009A321B" w:rsidRDefault="009A321B" w:rsidP="009A321B">
      <w:pPr>
        <w:spacing w:after="0" w:line="36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A321B">
        <w:rPr>
          <w:rFonts w:ascii="Arial" w:eastAsia="Times New Roman" w:hAnsi="Arial" w:cs="Arial"/>
          <w:sz w:val="24"/>
          <w:szCs w:val="24"/>
          <w:lang w:eastAsia="pt-BR"/>
        </w:rPr>
        <w:t>A acusação baseia-se, fundamentalmente, no fato de que o Cadastro Ambiental Rural (CAR) do imóvel ainda se encontra em nome dos Acusados.</w:t>
      </w:r>
    </w:p>
    <w:p w14:paraId="6A0BC81D" w14:textId="77777777" w:rsidR="009A321B" w:rsidRPr="009A321B" w:rsidRDefault="009A321B" w:rsidP="009A321B">
      <w:pPr>
        <w:spacing w:after="0" w:line="36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A321B">
        <w:rPr>
          <w:rFonts w:ascii="Arial" w:eastAsia="Times New Roman" w:hAnsi="Arial" w:cs="Arial"/>
          <w:sz w:val="24"/>
          <w:szCs w:val="24"/>
          <w:lang w:eastAsia="pt-BR"/>
        </w:rPr>
        <w:t>Contudo, como será demonstrado, a denúncia não merece prosperar, seja pela manifesta ilegitimidade passiva dos Acusados, seja pela total ausência de provas de autoria, o que impõe a absolvição sumária.</w:t>
      </w:r>
    </w:p>
    <w:p w14:paraId="03E7ACBB" w14:textId="77777777" w:rsidR="009A321B" w:rsidRDefault="009A321B" w:rsidP="009A321B">
      <w:pPr>
        <w:spacing w:after="0" w:line="360" w:lineRule="auto"/>
        <w:ind w:firstLine="1134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6108E829" w14:textId="7E90610A" w:rsidR="009A321B" w:rsidRPr="009A321B" w:rsidRDefault="009A321B" w:rsidP="009A321B">
      <w:pPr>
        <w:spacing w:after="0" w:line="36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A321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II - PRELIMINARMENTE</w:t>
      </w:r>
    </w:p>
    <w:p w14:paraId="2DBF4EC1" w14:textId="69DA2B38" w:rsidR="009A321B" w:rsidRDefault="009A321B" w:rsidP="009A321B">
      <w:pPr>
        <w:spacing w:after="0" w:line="360" w:lineRule="auto"/>
        <w:ind w:firstLine="1134"/>
        <w:jc w:val="both"/>
        <w:rPr>
          <w:rFonts w:ascii="Arial" w:eastAsia="Times New Roman" w:hAnsi="Arial" w:cs="Arial"/>
          <w:b/>
          <w:bCs/>
          <w:i/>
          <w:iCs/>
          <w:sz w:val="24"/>
          <w:szCs w:val="24"/>
          <w:lang w:eastAsia="pt-BR"/>
        </w:rPr>
      </w:pPr>
      <w:r w:rsidRPr="009A321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II.1 - DA ILEGITIMIDADE PASSIVA </w:t>
      </w:r>
      <w:r w:rsidRPr="009A321B">
        <w:rPr>
          <w:rFonts w:ascii="Arial" w:eastAsia="Times New Roman" w:hAnsi="Arial" w:cs="Arial"/>
          <w:b/>
          <w:bCs/>
          <w:i/>
          <w:iCs/>
          <w:sz w:val="24"/>
          <w:szCs w:val="24"/>
          <w:lang w:eastAsia="pt-BR"/>
        </w:rPr>
        <w:t>AD CAUSAM</w:t>
      </w:r>
    </w:p>
    <w:p w14:paraId="71B8E067" w14:textId="77777777" w:rsidR="009A321B" w:rsidRPr="009A321B" w:rsidRDefault="009A321B" w:rsidP="009A321B">
      <w:pPr>
        <w:spacing w:after="0" w:line="36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1F3CFE22" w14:textId="77777777" w:rsidR="009A321B" w:rsidRPr="009A321B" w:rsidRDefault="009A321B" w:rsidP="009A321B">
      <w:pPr>
        <w:spacing w:after="0" w:line="36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A321B">
        <w:rPr>
          <w:rFonts w:ascii="Arial" w:eastAsia="Times New Roman" w:hAnsi="Arial" w:cs="Arial"/>
          <w:sz w:val="24"/>
          <w:szCs w:val="24"/>
          <w:lang w:eastAsia="pt-BR"/>
        </w:rPr>
        <w:t>A condição de procedibilidade para o exercício da ação penal exige que a parte Acusada seja a pessoa a quem a lei atribui a responsabilidade pela conduta delituosa. No presente caso, os Acusados são manifestamente ilegítimos para figurar no polo passivo desta ação.</w:t>
      </w:r>
    </w:p>
    <w:p w14:paraId="01EE24CA" w14:textId="77777777" w:rsidR="009A321B" w:rsidRPr="009A321B" w:rsidRDefault="009A321B" w:rsidP="009A321B">
      <w:pPr>
        <w:spacing w:after="0" w:line="36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A321B">
        <w:rPr>
          <w:rFonts w:ascii="Arial" w:eastAsia="Times New Roman" w:hAnsi="Arial" w:cs="Arial"/>
          <w:sz w:val="24"/>
          <w:szCs w:val="24"/>
          <w:lang w:eastAsia="pt-BR"/>
        </w:rPr>
        <w:t xml:space="preserve">Isso porque, em </w:t>
      </w:r>
      <w:r w:rsidRPr="009A321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20 de setembro de 2020</w:t>
      </w:r>
      <w:r w:rsidRPr="009A321B">
        <w:rPr>
          <w:rFonts w:ascii="Arial" w:eastAsia="Times New Roman" w:hAnsi="Arial" w:cs="Arial"/>
          <w:sz w:val="24"/>
          <w:szCs w:val="24"/>
          <w:lang w:eastAsia="pt-BR"/>
        </w:rPr>
        <w:t xml:space="preserve">, ou seja, mais de três anos antes do período dos fatos narrados na denúncia, os Acusados cederam de forma irrevogável todos os direitos possessórios sobre a Fazenda </w:t>
      </w:r>
      <w:proofErr w:type="spellStart"/>
      <w:r w:rsidRPr="009A321B">
        <w:rPr>
          <w:rFonts w:ascii="Arial" w:eastAsia="Times New Roman" w:hAnsi="Arial" w:cs="Arial"/>
          <w:sz w:val="24"/>
          <w:szCs w:val="24"/>
          <w:lang w:eastAsia="pt-BR"/>
        </w:rPr>
        <w:t>Manaaim</w:t>
      </w:r>
      <w:proofErr w:type="spellEnd"/>
      <w:r w:rsidRPr="009A321B">
        <w:rPr>
          <w:rFonts w:ascii="Arial" w:eastAsia="Times New Roman" w:hAnsi="Arial" w:cs="Arial"/>
          <w:sz w:val="24"/>
          <w:szCs w:val="24"/>
          <w:lang w:eastAsia="pt-BR"/>
        </w:rPr>
        <w:t xml:space="preserve"> aos Srs. Carlos Célio Fialho e </w:t>
      </w:r>
      <w:proofErr w:type="spellStart"/>
      <w:r w:rsidRPr="009A321B">
        <w:rPr>
          <w:rFonts w:ascii="Arial" w:eastAsia="Times New Roman" w:hAnsi="Arial" w:cs="Arial"/>
          <w:sz w:val="24"/>
          <w:szCs w:val="24"/>
          <w:lang w:eastAsia="pt-BR"/>
        </w:rPr>
        <w:t>Ivaneide</w:t>
      </w:r>
      <w:proofErr w:type="spellEnd"/>
      <w:r w:rsidRPr="009A321B">
        <w:rPr>
          <w:rFonts w:ascii="Arial" w:eastAsia="Times New Roman" w:hAnsi="Arial" w:cs="Arial"/>
          <w:sz w:val="24"/>
          <w:szCs w:val="24"/>
          <w:lang w:eastAsia="pt-BR"/>
        </w:rPr>
        <w:t xml:space="preserve"> Oliveira Fialho, conforme se comprova pelo Contrato Particular de Compra e Venda com Cessão de Direitos Possessórios (doc. anexo).</w:t>
      </w:r>
    </w:p>
    <w:p w14:paraId="280602F8" w14:textId="77777777" w:rsidR="009A321B" w:rsidRPr="009A321B" w:rsidRDefault="009A321B" w:rsidP="009A321B">
      <w:pPr>
        <w:spacing w:after="0" w:line="36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A321B">
        <w:rPr>
          <w:rFonts w:ascii="Arial" w:eastAsia="Times New Roman" w:hAnsi="Arial" w:cs="Arial"/>
          <w:sz w:val="24"/>
          <w:szCs w:val="24"/>
          <w:lang w:eastAsia="pt-BR"/>
        </w:rPr>
        <w:t xml:space="preserve">Desde a referida data, os Acusados não detêm mais a posse, o domínio ou qualquer poder de gestão sobre o imóvel. A responsabilidade penal, como é cediço, é </w:t>
      </w:r>
      <w:r w:rsidRPr="009A321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pessoal e intransferível</w:t>
      </w:r>
      <w:r w:rsidRPr="009A321B">
        <w:rPr>
          <w:rFonts w:ascii="Arial" w:eastAsia="Times New Roman" w:hAnsi="Arial" w:cs="Arial"/>
          <w:sz w:val="24"/>
          <w:szCs w:val="24"/>
          <w:lang w:eastAsia="pt-BR"/>
        </w:rPr>
        <w:t xml:space="preserve">, não se confundindo com a responsabilidade civil de natureza </w:t>
      </w:r>
      <w:proofErr w:type="spellStart"/>
      <w:r w:rsidRPr="009A321B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propter</w:t>
      </w:r>
      <w:proofErr w:type="spellEnd"/>
      <w:r w:rsidRPr="009A321B">
        <w:rPr>
          <w:rFonts w:ascii="Arial" w:eastAsia="Times New Roman" w:hAnsi="Arial" w:cs="Arial"/>
          <w:i/>
          <w:iCs/>
          <w:sz w:val="24"/>
          <w:szCs w:val="24"/>
          <w:lang w:eastAsia="pt-BR"/>
        </w:rPr>
        <w:t xml:space="preserve"> rem</w:t>
      </w:r>
      <w:r w:rsidRPr="009A321B">
        <w:rPr>
          <w:rFonts w:ascii="Arial" w:eastAsia="Times New Roman" w:hAnsi="Arial" w:cs="Arial"/>
          <w:sz w:val="24"/>
          <w:szCs w:val="24"/>
          <w:lang w:eastAsia="pt-BR"/>
        </w:rPr>
        <w:t>. A sanção penal não pode ultrapassar a pessoa do infrator, nos termos do art. 5º, XLV, da Constituição Federal.</w:t>
      </w:r>
    </w:p>
    <w:p w14:paraId="09ACB6AC" w14:textId="77777777" w:rsidR="009A321B" w:rsidRPr="009A321B" w:rsidRDefault="009A321B" w:rsidP="009A321B">
      <w:pPr>
        <w:spacing w:after="0" w:line="36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A321B">
        <w:rPr>
          <w:rFonts w:ascii="Arial" w:eastAsia="Times New Roman" w:hAnsi="Arial" w:cs="Arial"/>
          <w:sz w:val="24"/>
          <w:szCs w:val="24"/>
          <w:lang w:eastAsia="pt-BR"/>
        </w:rPr>
        <w:t>O Tribunal de Justiça de Mato Grosso, ao diferenciar as esferas de responsabilidade, já consolidou o entendimento de que a sanção administrativa (e, com maior razão, a penal) tem caráter pessoal e não acompanha o imóvel.</w:t>
      </w:r>
    </w:p>
    <w:p w14:paraId="41E88F0B" w14:textId="77777777" w:rsidR="009A321B" w:rsidRPr="009A321B" w:rsidRDefault="009A321B" w:rsidP="009A321B">
      <w:pPr>
        <w:spacing w:after="0" w:line="36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A321B">
        <w:rPr>
          <w:rFonts w:ascii="Arial" w:eastAsia="Times New Roman" w:hAnsi="Arial" w:cs="Arial"/>
          <w:sz w:val="24"/>
          <w:szCs w:val="24"/>
          <w:lang w:eastAsia="pt-BR"/>
        </w:rPr>
        <w:t>Nesse sentido, o TJ-MT decidiu:</w:t>
      </w:r>
    </w:p>
    <w:p w14:paraId="11C4796F" w14:textId="77777777" w:rsidR="009A321B" w:rsidRPr="009A321B" w:rsidRDefault="009A321B" w:rsidP="009A321B">
      <w:pPr>
        <w:spacing w:after="0" w:line="276" w:lineRule="auto"/>
        <w:ind w:left="1701"/>
        <w:jc w:val="both"/>
        <w:rPr>
          <w:rFonts w:ascii="Arial" w:eastAsia="Times New Roman" w:hAnsi="Arial" w:cs="Arial"/>
          <w:i/>
          <w:iCs/>
          <w:lang w:eastAsia="pt-BR"/>
        </w:rPr>
      </w:pPr>
      <w:r w:rsidRPr="009A321B">
        <w:rPr>
          <w:rFonts w:ascii="Arial" w:eastAsia="Times New Roman" w:hAnsi="Arial" w:cs="Arial"/>
          <w:i/>
          <w:iCs/>
          <w:lang w:eastAsia="pt-BR"/>
        </w:rPr>
        <w:t xml:space="preserve">DIREITO AMBIENTAL E PROCESSUAL CIVIL. AGRAVO INTERNO. MULTA ADMINISTRATIVA AMBIENTAL. NATUREZA PESSOAL DA PENALIDADE. ILEGITIMIDADE PASSIVA DO RECORRENTE. RECURSO PROVIDO. I. Caso em exame </w:t>
      </w:r>
    </w:p>
    <w:p w14:paraId="39734209" w14:textId="77777777" w:rsidR="009A321B" w:rsidRPr="009A321B" w:rsidRDefault="009A321B" w:rsidP="009A321B">
      <w:pPr>
        <w:numPr>
          <w:ilvl w:val="0"/>
          <w:numId w:val="1"/>
        </w:numPr>
        <w:spacing w:after="0" w:line="276" w:lineRule="auto"/>
        <w:ind w:left="1701" w:firstLine="0"/>
        <w:jc w:val="both"/>
        <w:rPr>
          <w:rFonts w:ascii="Arial" w:eastAsia="Times New Roman" w:hAnsi="Arial" w:cs="Arial"/>
          <w:i/>
          <w:iCs/>
          <w:lang w:eastAsia="pt-BR"/>
        </w:rPr>
      </w:pPr>
      <w:r w:rsidRPr="009A321B">
        <w:rPr>
          <w:rFonts w:ascii="Arial" w:eastAsia="Times New Roman" w:hAnsi="Arial" w:cs="Arial"/>
          <w:i/>
          <w:iCs/>
          <w:lang w:eastAsia="pt-BR"/>
        </w:rPr>
        <w:t xml:space="preserve">Agravo Interno interposto contra decisão monocrática que negou provimento ao Recurso de Apelação Cível interposto pela pessoa jurídica de direito privado, mantendo a validade da multa ambiental inscrita na CDA 20176708, objeto da Execução Fiscal nº 1014135-93.2020.8.11.0041. II. Questão em discussão </w:t>
      </w:r>
    </w:p>
    <w:p w14:paraId="15B91B47" w14:textId="77777777" w:rsidR="009A321B" w:rsidRPr="009A321B" w:rsidRDefault="009A321B" w:rsidP="009A321B">
      <w:pPr>
        <w:numPr>
          <w:ilvl w:val="0"/>
          <w:numId w:val="1"/>
        </w:numPr>
        <w:spacing w:after="0" w:line="276" w:lineRule="auto"/>
        <w:ind w:left="1701" w:firstLine="0"/>
        <w:jc w:val="both"/>
        <w:rPr>
          <w:rFonts w:ascii="Arial" w:eastAsia="Times New Roman" w:hAnsi="Arial" w:cs="Arial"/>
          <w:i/>
          <w:iCs/>
          <w:lang w:eastAsia="pt-BR"/>
        </w:rPr>
      </w:pPr>
      <w:r w:rsidRPr="009A321B">
        <w:rPr>
          <w:rFonts w:ascii="Arial" w:eastAsia="Times New Roman" w:hAnsi="Arial" w:cs="Arial"/>
          <w:i/>
          <w:iCs/>
          <w:lang w:eastAsia="pt-BR"/>
        </w:rPr>
        <w:t xml:space="preserve">A controvérsia reside na legitimidade da empresa recorrente para figurar no polo passivo da execução fiscal, em razão de multa administrativa ambiental imposta por desmatamento ocorrido após a alienação e transmissão da posse do imóvel. III. Razões de decidir </w:t>
      </w:r>
    </w:p>
    <w:p w14:paraId="79583B9F" w14:textId="77777777" w:rsidR="009A321B" w:rsidRPr="009A321B" w:rsidRDefault="009A321B" w:rsidP="009A321B">
      <w:pPr>
        <w:numPr>
          <w:ilvl w:val="0"/>
          <w:numId w:val="1"/>
        </w:numPr>
        <w:spacing w:after="0" w:line="276" w:lineRule="auto"/>
        <w:ind w:left="1701" w:firstLine="0"/>
        <w:jc w:val="both"/>
        <w:rPr>
          <w:rFonts w:ascii="Arial" w:eastAsia="Times New Roman" w:hAnsi="Arial" w:cs="Arial"/>
          <w:i/>
          <w:iCs/>
          <w:lang w:eastAsia="pt-BR"/>
        </w:rPr>
      </w:pPr>
      <w:r w:rsidRPr="009A321B">
        <w:rPr>
          <w:rFonts w:ascii="Arial" w:eastAsia="Times New Roman" w:hAnsi="Arial" w:cs="Arial"/>
          <w:i/>
          <w:iCs/>
          <w:lang w:eastAsia="pt-BR"/>
        </w:rPr>
        <w:t xml:space="preserve">A responsabilidade civil ambiental possui natureza </w:t>
      </w:r>
      <w:proofErr w:type="spellStart"/>
      <w:r w:rsidRPr="009A321B">
        <w:rPr>
          <w:rFonts w:ascii="Arial" w:eastAsia="Times New Roman" w:hAnsi="Arial" w:cs="Arial"/>
          <w:i/>
          <w:iCs/>
          <w:lang w:eastAsia="pt-BR"/>
        </w:rPr>
        <w:t>propter</w:t>
      </w:r>
      <w:proofErr w:type="spellEnd"/>
      <w:r w:rsidRPr="009A321B">
        <w:rPr>
          <w:rFonts w:ascii="Arial" w:eastAsia="Times New Roman" w:hAnsi="Arial" w:cs="Arial"/>
          <w:i/>
          <w:iCs/>
          <w:lang w:eastAsia="pt-BR"/>
        </w:rPr>
        <w:t xml:space="preserve"> rem, podendo ser exigida do proprietário ou possuidor atual e/ou dos anteriores, conforme a Súmula 623 do STJ e o Tema Repetitivo 1204 .4. No entanto, a multa administrativa ambiental tem caráter pessoal e decorre do poder sancionador do Estado, sendo aplicável apenas ao transgressor identificado, nos termos do </w:t>
      </w:r>
      <w:proofErr w:type="spellStart"/>
      <w:r w:rsidRPr="009A321B">
        <w:rPr>
          <w:rFonts w:ascii="Arial" w:eastAsia="Times New Roman" w:hAnsi="Arial" w:cs="Arial"/>
          <w:i/>
          <w:iCs/>
          <w:lang w:eastAsia="pt-BR"/>
        </w:rPr>
        <w:t>REsp</w:t>
      </w:r>
      <w:proofErr w:type="spellEnd"/>
      <w:r w:rsidRPr="009A321B">
        <w:rPr>
          <w:rFonts w:ascii="Arial" w:eastAsia="Times New Roman" w:hAnsi="Arial" w:cs="Arial"/>
          <w:i/>
          <w:iCs/>
          <w:lang w:eastAsia="pt-BR"/>
        </w:rPr>
        <w:t xml:space="preserve"> 1.823.083/AL. </w:t>
      </w:r>
    </w:p>
    <w:p w14:paraId="48F431E1" w14:textId="77777777" w:rsidR="009A321B" w:rsidRPr="009A321B" w:rsidRDefault="009A321B" w:rsidP="009A321B">
      <w:pPr>
        <w:numPr>
          <w:ilvl w:val="0"/>
          <w:numId w:val="1"/>
        </w:numPr>
        <w:spacing w:after="0" w:line="276" w:lineRule="auto"/>
        <w:ind w:left="1701" w:firstLine="0"/>
        <w:jc w:val="both"/>
        <w:rPr>
          <w:rFonts w:ascii="Arial" w:eastAsia="Times New Roman" w:hAnsi="Arial" w:cs="Arial"/>
          <w:i/>
          <w:iCs/>
          <w:lang w:eastAsia="pt-BR"/>
        </w:rPr>
      </w:pPr>
      <w:r w:rsidRPr="009A321B">
        <w:rPr>
          <w:rFonts w:ascii="Arial" w:eastAsia="Times New Roman" w:hAnsi="Arial" w:cs="Arial"/>
          <w:i/>
          <w:iCs/>
          <w:lang w:eastAsia="pt-BR"/>
        </w:rPr>
        <w:t xml:space="preserve">Comprovado que, à época do dano ambiental, o imóvel já havia sido alienado pelo agravante e a posse transmitida aos promitentes compradores, resta afastada a responsabilidade da empresa recorrente .6. A inexistência de elementos subjetivos que vinculem a recorrente à conduta infracional reforça sua ilegitimidade passiva em relação a multa ambiental. IV. Dispositivo e tese </w:t>
      </w:r>
    </w:p>
    <w:p w14:paraId="5B2A6CF6" w14:textId="77777777" w:rsidR="009A321B" w:rsidRPr="009A321B" w:rsidRDefault="009A321B" w:rsidP="009A321B">
      <w:pPr>
        <w:numPr>
          <w:ilvl w:val="0"/>
          <w:numId w:val="1"/>
        </w:numPr>
        <w:spacing w:after="0" w:line="276" w:lineRule="auto"/>
        <w:ind w:left="1701" w:firstLine="0"/>
        <w:jc w:val="both"/>
        <w:rPr>
          <w:rFonts w:ascii="Arial" w:eastAsia="Times New Roman" w:hAnsi="Arial" w:cs="Arial"/>
          <w:i/>
          <w:iCs/>
          <w:lang w:eastAsia="pt-BR"/>
        </w:rPr>
      </w:pPr>
      <w:r w:rsidRPr="009A321B">
        <w:rPr>
          <w:rFonts w:ascii="Arial" w:eastAsia="Times New Roman" w:hAnsi="Arial" w:cs="Arial"/>
          <w:i/>
          <w:iCs/>
          <w:lang w:eastAsia="pt-BR"/>
        </w:rPr>
        <w:t xml:space="preserve">Agravo Interno provido. Tese de julgamento: "A multa administrativa ambiental possui caráter pessoal, não se aplicando a responsabilidade </w:t>
      </w:r>
      <w:proofErr w:type="spellStart"/>
      <w:r w:rsidRPr="009A321B">
        <w:rPr>
          <w:rFonts w:ascii="Arial" w:eastAsia="Times New Roman" w:hAnsi="Arial" w:cs="Arial"/>
          <w:i/>
          <w:iCs/>
          <w:lang w:eastAsia="pt-BR"/>
        </w:rPr>
        <w:t>propter</w:t>
      </w:r>
      <w:proofErr w:type="spellEnd"/>
      <w:r w:rsidRPr="009A321B">
        <w:rPr>
          <w:rFonts w:ascii="Arial" w:eastAsia="Times New Roman" w:hAnsi="Arial" w:cs="Arial"/>
          <w:i/>
          <w:iCs/>
          <w:lang w:eastAsia="pt-BR"/>
        </w:rPr>
        <w:t xml:space="preserve"> rem prevista para a reparação civil ambiental. O alienante do imóvel não responde pela penalidade quando comprovada a transferência da posse antes da ocorrência do dano ambiental." Dispositivos relevantes citados: CF/1988, art. 225, § 3º; Lei 6.938/1981, </w:t>
      </w:r>
      <w:proofErr w:type="spellStart"/>
      <w:r w:rsidRPr="009A321B">
        <w:rPr>
          <w:rFonts w:ascii="Arial" w:eastAsia="Times New Roman" w:hAnsi="Arial" w:cs="Arial"/>
          <w:i/>
          <w:iCs/>
          <w:lang w:eastAsia="pt-BR"/>
        </w:rPr>
        <w:t>arts</w:t>
      </w:r>
      <w:proofErr w:type="spellEnd"/>
      <w:r w:rsidRPr="009A321B">
        <w:rPr>
          <w:rFonts w:ascii="Arial" w:eastAsia="Times New Roman" w:hAnsi="Arial" w:cs="Arial"/>
          <w:i/>
          <w:iCs/>
          <w:lang w:eastAsia="pt-BR"/>
        </w:rPr>
        <w:t xml:space="preserve">. 3º, IV, e 14, § 1º; Lei 12.651/2012, art. 2º, § 2º; Decreto 6.514/2008, art. 52. Jurisprudência relevante citada: STJ, Súmula 623; STJ, Tema Repetitivo 1204; STJ, </w:t>
      </w:r>
      <w:proofErr w:type="spellStart"/>
      <w:r w:rsidRPr="009A321B">
        <w:rPr>
          <w:rFonts w:ascii="Arial" w:eastAsia="Times New Roman" w:hAnsi="Arial" w:cs="Arial"/>
          <w:i/>
          <w:iCs/>
          <w:lang w:eastAsia="pt-BR"/>
        </w:rPr>
        <w:t>REsp</w:t>
      </w:r>
      <w:proofErr w:type="spellEnd"/>
      <w:r w:rsidRPr="009A321B">
        <w:rPr>
          <w:rFonts w:ascii="Arial" w:eastAsia="Times New Roman" w:hAnsi="Arial" w:cs="Arial"/>
          <w:i/>
          <w:iCs/>
          <w:lang w:eastAsia="pt-BR"/>
        </w:rPr>
        <w:t xml:space="preserve"> 1.823.083/AL, Rel. Min. Paulo Sérgio Domingues, 2024; STJ, </w:t>
      </w:r>
      <w:proofErr w:type="spellStart"/>
      <w:r w:rsidRPr="009A321B">
        <w:rPr>
          <w:rFonts w:ascii="Arial" w:eastAsia="Times New Roman" w:hAnsi="Arial" w:cs="Arial"/>
          <w:i/>
          <w:iCs/>
          <w:lang w:eastAsia="pt-BR"/>
        </w:rPr>
        <w:t>REsp</w:t>
      </w:r>
      <w:proofErr w:type="spellEnd"/>
      <w:r w:rsidRPr="009A321B">
        <w:rPr>
          <w:rFonts w:ascii="Arial" w:eastAsia="Times New Roman" w:hAnsi="Arial" w:cs="Arial"/>
          <w:i/>
          <w:iCs/>
          <w:lang w:eastAsia="pt-BR"/>
        </w:rPr>
        <w:t xml:space="preserve"> 1.251.697/PR, Rel. Min. Mauro Campbell Marques, 2012</w:t>
      </w:r>
    </w:p>
    <w:p w14:paraId="05A30C9C" w14:textId="77777777" w:rsidR="009A321B" w:rsidRPr="009A321B" w:rsidRDefault="009A321B" w:rsidP="009A321B">
      <w:pPr>
        <w:spacing w:after="0" w:line="276" w:lineRule="auto"/>
        <w:ind w:left="1701"/>
        <w:jc w:val="both"/>
        <w:rPr>
          <w:rFonts w:ascii="Arial" w:eastAsia="Times New Roman" w:hAnsi="Arial" w:cs="Arial"/>
          <w:i/>
          <w:iCs/>
          <w:lang w:eastAsia="pt-BR"/>
        </w:rPr>
      </w:pPr>
      <w:r w:rsidRPr="009A321B">
        <w:rPr>
          <w:rFonts w:ascii="Arial" w:eastAsia="Times New Roman" w:hAnsi="Arial" w:cs="Arial"/>
          <w:i/>
          <w:iCs/>
          <w:lang w:eastAsia="pt-BR"/>
        </w:rPr>
        <w:t xml:space="preserve">(TJ-MT - APELAÇÃO CÍVEL: 10331241620218110041, Relator: MARIO ROBERTO KONO DE OLIVEIRA, Data de Julgamento: 05/02/2025, Primeira Câmara de Direito Público e Coletivo, Data de Publicação: 19/02/2025) </w:t>
      </w:r>
    </w:p>
    <w:p w14:paraId="2BCD732D" w14:textId="77777777" w:rsidR="009A321B" w:rsidRDefault="009A321B" w:rsidP="009A321B">
      <w:pPr>
        <w:spacing w:after="0" w:line="36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5B277E15" w14:textId="03C85500" w:rsidR="009A321B" w:rsidRDefault="009A321B" w:rsidP="009A321B">
      <w:pPr>
        <w:spacing w:after="0" w:line="36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A321B">
        <w:rPr>
          <w:rFonts w:ascii="Arial" w:eastAsia="Times New Roman" w:hAnsi="Arial" w:cs="Arial"/>
          <w:sz w:val="24"/>
          <w:szCs w:val="24"/>
          <w:lang w:eastAsia="pt-BR"/>
        </w:rPr>
        <w:t>Em outro julgado, o mesmo Tribunal reforçou a necessidade de comprovação de que o réu era proprietário ou possuidor à época da infração para que possa ser responsabilizado:</w:t>
      </w:r>
    </w:p>
    <w:p w14:paraId="377197B3" w14:textId="77777777" w:rsidR="009A321B" w:rsidRPr="009A321B" w:rsidRDefault="009A321B" w:rsidP="009A321B">
      <w:pPr>
        <w:spacing w:after="0" w:line="276" w:lineRule="auto"/>
        <w:ind w:left="1701"/>
        <w:jc w:val="both"/>
        <w:rPr>
          <w:rFonts w:ascii="Arial" w:eastAsia="Times New Roman" w:hAnsi="Arial" w:cs="Arial"/>
          <w:i/>
          <w:iCs/>
          <w:lang w:eastAsia="pt-BR"/>
        </w:rPr>
      </w:pPr>
    </w:p>
    <w:p w14:paraId="151CDB6D" w14:textId="77777777" w:rsidR="009A321B" w:rsidRPr="009A321B" w:rsidRDefault="009A321B" w:rsidP="009A321B">
      <w:pPr>
        <w:spacing w:after="0" w:line="276" w:lineRule="auto"/>
        <w:ind w:left="1701"/>
        <w:jc w:val="both"/>
        <w:rPr>
          <w:rFonts w:ascii="Arial" w:eastAsia="Times New Roman" w:hAnsi="Arial" w:cs="Arial"/>
          <w:i/>
          <w:iCs/>
          <w:lang w:eastAsia="pt-BR"/>
        </w:rPr>
      </w:pPr>
      <w:r w:rsidRPr="009A321B">
        <w:rPr>
          <w:rFonts w:ascii="Arial" w:eastAsia="Times New Roman" w:hAnsi="Arial" w:cs="Arial"/>
          <w:i/>
          <w:iCs/>
          <w:lang w:eastAsia="pt-BR"/>
        </w:rPr>
        <w:t xml:space="preserve">RECURSOS DE APELAÇÃO CIVEL – AÇÃO CIVIL PÚBLICA AMBIENTAL – ILEGITIMIDADE PASSIVA – CARACTERIZAÇÃO -APELANTE QUE DISTRATOU A COMPRA DA ÁREA ANOS ANTES DA INFRAÇÃO AMBIENTAL - NÃO ERA PROPRIETÁRIO TAMPOUCO POSSUIDOR QUANDO DA INFRAÇÃO – AUSÊNCIA DE COMPROVAÇÃO DE AÇÃO DO APELANTE COM O DANO OCORRIDO – SENTENÇA REFORMADA – RECURSO PROVIDO. RECURSO DO MINISTÉRIO PÚBLICO PREJUDICADO. O Apelante foi incluído no </w:t>
      </w:r>
      <w:proofErr w:type="spellStart"/>
      <w:r w:rsidRPr="009A321B">
        <w:rPr>
          <w:rFonts w:ascii="Arial" w:eastAsia="Times New Roman" w:hAnsi="Arial" w:cs="Arial"/>
          <w:i/>
          <w:iCs/>
          <w:lang w:eastAsia="pt-BR"/>
        </w:rPr>
        <w:t>pólo</w:t>
      </w:r>
      <w:proofErr w:type="spellEnd"/>
      <w:r w:rsidRPr="009A321B">
        <w:rPr>
          <w:rFonts w:ascii="Arial" w:eastAsia="Times New Roman" w:hAnsi="Arial" w:cs="Arial"/>
          <w:i/>
          <w:iCs/>
          <w:lang w:eastAsia="pt-BR"/>
        </w:rPr>
        <w:t xml:space="preserve"> passivo em substituição ao autuado, que apresentou contrato de compra e venda. Havendo a comprovação documental de que houve o distrato da compra do imóvel rural onde ocorreu a infração ambiental no ano de 2011 e a infração é de 2013, como também o apelante nunca teve a posse do imóvel, inexiste nexo de causalidade. Ilegitimidade passiva do apelante caracterizada, devendo o processo ser extinto, sem resolução de mérito. Recurso do Ministério Público prejudicado.</w:t>
      </w:r>
    </w:p>
    <w:p w14:paraId="0F1A9860" w14:textId="77777777" w:rsidR="009A321B" w:rsidRPr="009A321B" w:rsidRDefault="009A321B" w:rsidP="009A321B">
      <w:pPr>
        <w:spacing w:after="0" w:line="276" w:lineRule="auto"/>
        <w:ind w:left="1701"/>
        <w:jc w:val="both"/>
        <w:rPr>
          <w:rFonts w:ascii="Arial" w:eastAsia="Times New Roman" w:hAnsi="Arial" w:cs="Arial"/>
          <w:i/>
          <w:iCs/>
          <w:lang w:eastAsia="pt-BR"/>
        </w:rPr>
      </w:pPr>
      <w:r w:rsidRPr="009A321B">
        <w:rPr>
          <w:rFonts w:ascii="Arial" w:eastAsia="Times New Roman" w:hAnsi="Arial" w:cs="Arial"/>
          <w:i/>
          <w:iCs/>
          <w:lang w:eastAsia="pt-BR"/>
        </w:rPr>
        <w:t xml:space="preserve">(TJ-MT - APELAÇÃO CÍVEL: 00003153020148110107, Relator: VANDYMARA GALVAO RAMOS PAIVA ZANOLO, Data de Julgamento: 28/08/2024, Terceira Câmara de Direito Público e Coletivo, Data de Publicação: 01/09/2024) </w:t>
      </w:r>
    </w:p>
    <w:p w14:paraId="3ED26BCF" w14:textId="77777777" w:rsidR="009A321B" w:rsidRDefault="009A321B" w:rsidP="009A321B">
      <w:pPr>
        <w:spacing w:after="0" w:line="36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A54620F" w14:textId="073CB402" w:rsidR="009A321B" w:rsidRPr="009A321B" w:rsidRDefault="009A321B" w:rsidP="009A321B">
      <w:pPr>
        <w:spacing w:after="0" w:line="36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A321B">
        <w:rPr>
          <w:rFonts w:ascii="Arial" w:eastAsia="Times New Roman" w:hAnsi="Arial" w:cs="Arial"/>
          <w:sz w:val="24"/>
          <w:szCs w:val="24"/>
          <w:lang w:eastAsia="pt-BR"/>
        </w:rPr>
        <w:t>Assim, tendo em vista que os Acusados não exerciam qualquer poder de fato sobre a área no período do suposto desmatamento, é forçoso reconhecer sua ilegitimidade passiva, devendo a presente ação ser extinta sem resolução de mérito, nos termos do art. 395, II, do Código de Processo Penal.</w:t>
      </w:r>
    </w:p>
    <w:p w14:paraId="7CB69990" w14:textId="77777777" w:rsidR="009A321B" w:rsidRDefault="009A321B" w:rsidP="009A321B">
      <w:pPr>
        <w:spacing w:after="0" w:line="360" w:lineRule="auto"/>
        <w:ind w:firstLine="1134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6242A25A" w14:textId="297EB370" w:rsidR="009A321B" w:rsidRPr="009A321B" w:rsidRDefault="009A321B" w:rsidP="009A321B">
      <w:pPr>
        <w:spacing w:after="0" w:line="36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A321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III - DO MÉRITO</w:t>
      </w:r>
    </w:p>
    <w:p w14:paraId="7A8B383B" w14:textId="77777777" w:rsidR="009A321B" w:rsidRDefault="009A321B" w:rsidP="009A321B">
      <w:pPr>
        <w:spacing w:after="0" w:line="360" w:lineRule="auto"/>
        <w:ind w:firstLine="1134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315B4CC9" w14:textId="042E2D44" w:rsidR="009A321B" w:rsidRPr="009A321B" w:rsidRDefault="009A321B" w:rsidP="009A321B">
      <w:pPr>
        <w:spacing w:after="0" w:line="36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A321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III.1 - DA ABSOLVIÇÃO SUMÁRIA PELA ATIPICIDADE DA CONDUTA (AUSÊNCIA DE AUTORIA)</w:t>
      </w:r>
    </w:p>
    <w:p w14:paraId="767D3F34" w14:textId="77777777" w:rsidR="009A321B" w:rsidRDefault="009A321B" w:rsidP="009A321B">
      <w:pPr>
        <w:spacing w:after="0" w:line="36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169D78B0" w14:textId="49F927EB" w:rsidR="009A321B" w:rsidRPr="009A321B" w:rsidRDefault="009A321B" w:rsidP="009A321B">
      <w:pPr>
        <w:spacing w:after="0" w:line="36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A321B">
        <w:rPr>
          <w:rFonts w:ascii="Arial" w:eastAsia="Times New Roman" w:hAnsi="Arial" w:cs="Arial"/>
          <w:sz w:val="24"/>
          <w:szCs w:val="24"/>
          <w:lang w:eastAsia="pt-BR"/>
        </w:rPr>
        <w:t>Caso não seja acolhida a preliminar de ilegitimidade, o que se admite apenas por amor ao debate, a absolvição sumária dos Acusados é medida que se impõe, com base no art. 397, III, do Código de Processo Penal, pois o fato narrado evidentemente não constitui crime praticado por eles.</w:t>
      </w:r>
    </w:p>
    <w:p w14:paraId="322BBE39" w14:textId="77777777" w:rsidR="009A321B" w:rsidRPr="009A321B" w:rsidRDefault="009A321B" w:rsidP="009A321B">
      <w:pPr>
        <w:spacing w:after="0" w:line="36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A321B">
        <w:rPr>
          <w:rFonts w:ascii="Arial" w:eastAsia="Times New Roman" w:hAnsi="Arial" w:cs="Arial"/>
          <w:sz w:val="24"/>
          <w:szCs w:val="24"/>
          <w:lang w:eastAsia="pt-BR"/>
        </w:rPr>
        <w:t>A denúncia imputa uma conduta – "destruir" – que exige uma ação direta do agente. Contudo, a acusação falha em demonstrar minimamente que os Acusados tenham, de qualquer forma, concorrido para a infração. Pelo contrário, a prova documental (contrato de cessão) demonstra que seria factualmente impossível para eles praticar tal ato, pois não mais detinham a posse do imóvel.</w:t>
      </w:r>
    </w:p>
    <w:p w14:paraId="532D52B8" w14:textId="77777777" w:rsidR="009A321B" w:rsidRPr="009A321B" w:rsidRDefault="009A321B" w:rsidP="009A321B">
      <w:pPr>
        <w:spacing w:after="0" w:line="36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A321B">
        <w:rPr>
          <w:rFonts w:ascii="Arial" w:eastAsia="Times New Roman" w:hAnsi="Arial" w:cs="Arial"/>
          <w:sz w:val="24"/>
          <w:szCs w:val="24"/>
          <w:lang w:eastAsia="pt-BR"/>
        </w:rPr>
        <w:t>A responsabilidade penal ambiental é subjetiva, exigindo a comprovação do nexo causal entre a conduta do agente e o dano. Presumir a autoria com base em um registro cadastral desatualizado, ignorando a transferência fática e jurídica da posse, é violar o princípio da presunção de inocência e da responsabilidade pessoal.</w:t>
      </w:r>
    </w:p>
    <w:p w14:paraId="0CCB37A9" w14:textId="77777777" w:rsidR="009A321B" w:rsidRPr="009A321B" w:rsidRDefault="009A321B" w:rsidP="009A321B">
      <w:pPr>
        <w:spacing w:after="0" w:line="36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A321B">
        <w:rPr>
          <w:rFonts w:ascii="Arial" w:eastAsia="Times New Roman" w:hAnsi="Arial" w:cs="Arial"/>
          <w:sz w:val="24"/>
          <w:szCs w:val="24"/>
          <w:lang w:eastAsia="pt-BR"/>
        </w:rPr>
        <w:t>O TJ-MT é firme ao assentar que a responsabilidade administrativa e penal ambiental exige prova da conduta e do nexo causal, não podendo ser meramente presumida.</w:t>
      </w:r>
    </w:p>
    <w:p w14:paraId="08E73D0D" w14:textId="77777777" w:rsidR="009A321B" w:rsidRDefault="009A321B" w:rsidP="009A321B">
      <w:pPr>
        <w:spacing w:after="0" w:line="36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07F9F46" w14:textId="77777777" w:rsidR="009A321B" w:rsidRPr="009A321B" w:rsidRDefault="009A321B" w:rsidP="009A321B">
      <w:pPr>
        <w:spacing w:after="0" w:line="276" w:lineRule="auto"/>
        <w:ind w:left="1701"/>
        <w:jc w:val="both"/>
        <w:rPr>
          <w:rFonts w:ascii="Arial" w:eastAsia="Times New Roman" w:hAnsi="Arial" w:cs="Arial"/>
          <w:i/>
          <w:iCs/>
          <w:lang w:eastAsia="pt-BR"/>
        </w:rPr>
      </w:pPr>
      <w:r w:rsidRPr="009A321B">
        <w:rPr>
          <w:rFonts w:ascii="Arial" w:eastAsia="Times New Roman" w:hAnsi="Arial" w:cs="Arial"/>
          <w:i/>
          <w:iCs/>
          <w:lang w:eastAsia="pt-BR"/>
        </w:rPr>
        <w:t>APELAÇÃO CÍVEL – AÇÃO ANULATÓRIA – INFRAÇÃO AMBIENTAL – PRELIMINAR DE PRESCRIÇÃO – REJEITADA – MÉRITO – ARGUIÇÃO DE ILEGITIMIDADE PASSIVA E AUSÊNCIA DE NEXO DE CAUSALIDADE – RESPONSABILIDADE AMBIENTAL ADMINISTRATIVA SUBJETIVA – PARECER TÉCNICO EXPEDIDO PELO ÓRGÃO AMBIENTAL – IMÓVEL EM NOME DE TERCEIRO – INSUBSISTÊNCIA DO AUTO DE INFRAÇÃO – NULIDADE QUE SE IMPÕE – RECURSO PROVIDO. 1 - O STJ possui entendimento consolidado de que a prescrição intercorrente prevista na Lei n. 9.873/1999 não se aplica às ações administrativas punitivas desenvolvidas por Estados e Municípios, em razão da limitação do âmbito espacial da lei ao plano federal. 2 - A responsabilidade administrativa ambiental é subjetiva – ou seja, a condenação administrativa por dano ambiental exige demonstração de que a conduta tenha sido cometida pelo transgressor, além da prova do nexo causal entre a conduta e o dano. Inexistindo esta prova, é insubsistente e auto de infração, impondo-se seja reconhecida a nulidade.</w:t>
      </w:r>
    </w:p>
    <w:p w14:paraId="39E60FDB" w14:textId="3C7BB29A" w:rsidR="009A321B" w:rsidRPr="009A321B" w:rsidRDefault="009A321B" w:rsidP="009A321B">
      <w:pPr>
        <w:spacing w:after="0" w:line="276" w:lineRule="auto"/>
        <w:ind w:left="1701"/>
        <w:jc w:val="both"/>
        <w:rPr>
          <w:rFonts w:ascii="Arial" w:eastAsia="Times New Roman" w:hAnsi="Arial" w:cs="Arial"/>
          <w:i/>
          <w:iCs/>
          <w:lang w:eastAsia="pt-BR"/>
        </w:rPr>
      </w:pPr>
      <w:r w:rsidRPr="009A321B">
        <w:rPr>
          <w:rFonts w:ascii="Arial" w:eastAsia="Times New Roman" w:hAnsi="Arial" w:cs="Arial"/>
          <w:i/>
          <w:iCs/>
          <w:lang w:eastAsia="pt-BR"/>
        </w:rPr>
        <w:t xml:space="preserve">(TJ-MT 00004367520108110082 MT, Relator: LUIZ CARLOS DA COSTA, Data de Julgamento: 11/11/2020, SEGUNDA CÂMARA DE DIREITO PÚBLICO E COLETIVO, Data de Publicação: 17/11/2020) </w:t>
      </w:r>
    </w:p>
    <w:p w14:paraId="7794ED58" w14:textId="77777777" w:rsidR="009A321B" w:rsidRDefault="009A321B" w:rsidP="009A321B">
      <w:pPr>
        <w:spacing w:after="0" w:line="36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9FB17CE" w14:textId="734E7141" w:rsidR="009A321B" w:rsidRDefault="009A321B" w:rsidP="009A321B">
      <w:pPr>
        <w:spacing w:after="0" w:line="36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A321B">
        <w:rPr>
          <w:rFonts w:ascii="Arial" w:eastAsia="Times New Roman" w:hAnsi="Arial" w:cs="Arial"/>
          <w:sz w:val="24"/>
          <w:szCs w:val="24"/>
          <w:lang w:eastAsia="pt-BR"/>
        </w:rPr>
        <w:t>Portanto, não havendo qualquer indício de que os Acusados praticaram a conduta descrita na denúncia, a absolvição sumária por atipicidade subjetiva da conduta é o caminho de rigor.</w:t>
      </w:r>
    </w:p>
    <w:p w14:paraId="235BC2BA" w14:textId="77777777" w:rsidR="009A321B" w:rsidRPr="009A321B" w:rsidRDefault="009A321B" w:rsidP="009A321B">
      <w:pPr>
        <w:spacing w:after="0" w:line="36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0CD0C1C" w14:textId="124A13A5" w:rsidR="009A321B" w:rsidRDefault="009A321B" w:rsidP="009A321B">
      <w:pPr>
        <w:spacing w:after="0" w:line="360" w:lineRule="auto"/>
        <w:ind w:firstLine="1134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9A321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III.2 - DA FRAGILIDADE PROBATÓRIA - INSUFICIÊNCIA DO CADASTRO AMBIENTAL RURAL (CAR) PARA COMPROVAR AUTORIA</w:t>
      </w:r>
    </w:p>
    <w:p w14:paraId="3EE04BA7" w14:textId="77777777" w:rsidR="009A321B" w:rsidRPr="009A321B" w:rsidRDefault="009A321B" w:rsidP="009A321B">
      <w:pPr>
        <w:spacing w:after="0" w:line="36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15565296" w14:textId="77777777" w:rsidR="009A321B" w:rsidRPr="009A321B" w:rsidRDefault="009A321B" w:rsidP="009A321B">
      <w:pPr>
        <w:spacing w:after="0" w:line="36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A321B">
        <w:rPr>
          <w:rFonts w:ascii="Arial" w:eastAsia="Times New Roman" w:hAnsi="Arial" w:cs="Arial"/>
          <w:sz w:val="24"/>
          <w:szCs w:val="24"/>
          <w:lang w:eastAsia="pt-BR"/>
        </w:rPr>
        <w:t>A denúncia se ampara exclusivamente no fato de o Cadastro Ambiental Rural (CAR) da propriedade ainda constar em nome dos Acusados. Tal elemento, contudo, é imprestável para, isoladamente, fundamentar uma acusação penal.</w:t>
      </w:r>
    </w:p>
    <w:p w14:paraId="2BAAF1C0" w14:textId="77777777" w:rsidR="009A321B" w:rsidRPr="009A321B" w:rsidRDefault="009A321B" w:rsidP="009A321B">
      <w:pPr>
        <w:spacing w:after="0" w:line="36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A321B">
        <w:rPr>
          <w:rFonts w:ascii="Arial" w:eastAsia="Times New Roman" w:hAnsi="Arial" w:cs="Arial"/>
          <w:sz w:val="24"/>
          <w:szCs w:val="24"/>
          <w:lang w:eastAsia="pt-BR"/>
        </w:rPr>
        <w:t>O CAR é um registro público eletrônico de natureza declaratória e obrigatória, conforme o art. 29 da Lei nº 12.651/2012. Sua finalidade é integrar as informações ambientais das propriedades e posses rurais, compondo base de dados para controle, monitoramento e planejamento. A própria lei, em seu § 2º, ressalva que "o cadastramento não será considerado título para fins de reconhecimento do direito de propriedade ou posse".</w:t>
      </w:r>
    </w:p>
    <w:p w14:paraId="58092180" w14:textId="77777777" w:rsidR="009A321B" w:rsidRPr="009A321B" w:rsidRDefault="009A321B" w:rsidP="009A321B">
      <w:pPr>
        <w:spacing w:after="0" w:line="36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A321B">
        <w:rPr>
          <w:rFonts w:ascii="Arial" w:eastAsia="Times New Roman" w:hAnsi="Arial" w:cs="Arial"/>
          <w:sz w:val="24"/>
          <w:szCs w:val="24"/>
          <w:lang w:eastAsia="pt-BR"/>
        </w:rPr>
        <w:t>A jurisprudência do TJ-MT, embora possa considerar o CAR como um elemento em um conjunto probatório, não o admite como prova isolada de autoria, especialmente quando outros elementos o contradizem.</w:t>
      </w:r>
    </w:p>
    <w:p w14:paraId="7EF06EAD" w14:textId="77777777" w:rsidR="009A321B" w:rsidRDefault="009A321B" w:rsidP="009A321B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15701AA" w14:textId="3DC30DAD" w:rsidR="009A321B" w:rsidRPr="009A321B" w:rsidRDefault="009A321B" w:rsidP="009A321B">
      <w:pPr>
        <w:spacing w:after="0" w:line="276" w:lineRule="auto"/>
        <w:ind w:left="1701"/>
        <w:jc w:val="both"/>
        <w:rPr>
          <w:rFonts w:ascii="Arial" w:eastAsia="Times New Roman" w:hAnsi="Arial" w:cs="Arial"/>
          <w:i/>
          <w:iCs/>
          <w:lang w:eastAsia="pt-BR"/>
        </w:rPr>
      </w:pPr>
      <w:r w:rsidRPr="009A321B">
        <w:rPr>
          <w:rFonts w:ascii="Arial" w:eastAsia="Times New Roman" w:hAnsi="Arial" w:cs="Arial"/>
          <w:i/>
          <w:iCs/>
          <w:lang w:eastAsia="pt-BR"/>
        </w:rPr>
        <w:t xml:space="preserve">DIREITO PENAL AMBIENTAL. APELAÇÃO CRIMINAL. CRIMES AMBIENTAIS. DESTRUIÇÃO DE FLORESTA DE PRESERVAÇÃO PERMANENTE E INCÊNDIO FLORESTAL CULPOSO. RESPONSABILIDADE POR INGERÊNCIA ADMINISTRATIVA. PROVA TÉCNICA E DOCUMENTAL IDÔNEA. SENTENÇA MANTIDA. RECURSO DESPROVIDO. I. CASO EM EXAME 1. Apelação criminal interposta contra sentença que condenou o réu pela prática dos crimes de destruir ou danificar floresta considerada de preservação permanente e de provocar incêndio em floresta ou em demais formas de vegetação, na modalidade culposa, em concurso material, com fundamento nos </w:t>
      </w:r>
      <w:proofErr w:type="spellStart"/>
      <w:r w:rsidRPr="009A321B">
        <w:rPr>
          <w:rFonts w:ascii="Arial" w:eastAsia="Times New Roman" w:hAnsi="Arial" w:cs="Arial"/>
          <w:i/>
          <w:iCs/>
          <w:lang w:eastAsia="pt-BR"/>
        </w:rPr>
        <w:t>arts</w:t>
      </w:r>
      <w:proofErr w:type="spellEnd"/>
      <w:r w:rsidRPr="009A321B">
        <w:rPr>
          <w:rFonts w:ascii="Arial" w:eastAsia="Times New Roman" w:hAnsi="Arial" w:cs="Arial"/>
          <w:i/>
          <w:iCs/>
          <w:lang w:eastAsia="pt-BR"/>
        </w:rPr>
        <w:t xml:space="preserve">. 38 (ou 41, conforme enquadramento adotado na sentença) e 42, parágrafo único, da Lei nº 9.605/1998, c/c art. 69 do Código Penal. 2. A sentença julgou parcialmente procedente a pretensão acusatória, absolvendo o réu quanto a um dos fatos imputados (art. 48 da Lei nº 9.605/1998) e condenando-o pelos demais, com substituição da pena privativa de liberdade por restritivas de direitos. II. QUESTÃO EM DISCUSSÃO Há três questões em discussão: (i) saber se o conjunto probatório é suficiente para comprovar a autoria e a materialidade dos crimes ambientais; (ii) saber se é possível a responsabilização penal do agente que, embora não seja o executor direto nem o proprietário formal do imóvel à época dos fatos, exercia ingerência fática e administrativa sobre a área; (iii) saber se há nexo causal e elemento subjetivo aptos a sustentar a condenação, especialmente quanto ao crime de incêndio florestal culposo. III. RAZÕES DE DECIDIR 3. A materialidade delitiva restou comprovada por relatório de fiscalização, laudo técnico do IBAMA/PREVFOGO, imagens de satélite, registros de focos de calor e autos de infração administrativa, elementos que demonstram a ocorrência do incêndio e os danos ambientais. 4. A autoria foi corretamente atribuída ao apelante, não por execução direta ou titularidade dominial formal, mas pela ingerência fática e administrativa exercida sobre a Fazenda Estrela à época dos fatos, evidenciada por dados do CAR, informações prestadas por gerente da propriedade, entrevistas em diligência de campo e pelo próprio comportamento do réu. 5. A prova técnica e testemunhal é coerente e convergente, tendo sido produzida por agentes públicos no exercício de suas funções e confirmada em juízo sob o crivo do contraditório, afastando a alegação de fragilidade probatória ou de utilização indevida de elementos extemporâneos. 6. Demonstrado o dever jurídico de vigilância e prevenção do apelante, bem como sua omissão relevante, mantém-se a condenação pelo crime de incêndio florestal culposo, sendo irrelevante a ausência de prova de dolo direto. IV. DISPOSITIVO E TESES 7. Recurso desprovido. Sentença mantida. Teses de julgamento: “1. É possível a responsabilização penal por crime ambiental daquele que, embora não seja o proprietário formal nem o executor direto da conduta, exerce ingerência fática e administrativa sobre o imóvel e deixa de impedir o resultado danoso. 2. Relatórios de fiscalização e laudos técnicos elaborados por órgãos ambientais, corroborados em juízo, constituem prova idônea para a comprovação da materialidade e da autoria em crimes ambientais.” Dispositivos relevantes citados: Lei nº 9.605/1998, </w:t>
      </w:r>
      <w:proofErr w:type="spellStart"/>
      <w:r w:rsidRPr="009A321B">
        <w:rPr>
          <w:rFonts w:ascii="Arial" w:eastAsia="Times New Roman" w:hAnsi="Arial" w:cs="Arial"/>
          <w:i/>
          <w:iCs/>
          <w:lang w:eastAsia="pt-BR"/>
        </w:rPr>
        <w:t>arts</w:t>
      </w:r>
      <w:proofErr w:type="spellEnd"/>
      <w:r w:rsidRPr="009A321B">
        <w:rPr>
          <w:rFonts w:ascii="Arial" w:eastAsia="Times New Roman" w:hAnsi="Arial" w:cs="Arial"/>
          <w:i/>
          <w:iCs/>
          <w:lang w:eastAsia="pt-BR"/>
        </w:rPr>
        <w:t>. 2º, 38 (ou 41, conforme o caso) e 42, parágrafo único; Código Penal, art. 69.</w:t>
      </w:r>
    </w:p>
    <w:p w14:paraId="31E7D29E" w14:textId="77777777" w:rsidR="009A321B" w:rsidRPr="009A321B" w:rsidRDefault="009A321B" w:rsidP="009A321B">
      <w:pPr>
        <w:spacing w:after="0" w:line="276" w:lineRule="auto"/>
        <w:ind w:left="1701" w:firstLine="1134"/>
        <w:jc w:val="both"/>
        <w:rPr>
          <w:rFonts w:ascii="Arial" w:eastAsia="Times New Roman" w:hAnsi="Arial" w:cs="Arial"/>
          <w:i/>
          <w:iCs/>
          <w:lang w:eastAsia="pt-BR"/>
        </w:rPr>
      </w:pPr>
      <w:r w:rsidRPr="009A321B">
        <w:rPr>
          <w:rFonts w:ascii="Arial" w:eastAsia="Times New Roman" w:hAnsi="Arial" w:cs="Arial"/>
          <w:i/>
          <w:iCs/>
          <w:lang w:eastAsia="pt-BR"/>
        </w:rPr>
        <w:t xml:space="preserve">(TJ-MT - APELAÇÃO CRIMINAL: 10020765920238110044, Relator: PAULO SERGIO CARREIRA DE SOUZA, Data de Julgamento: 03/03/2026, Segunda Câmara Criminal, Data de Publicação: 10/03/2026) </w:t>
      </w:r>
    </w:p>
    <w:p w14:paraId="15D8402E" w14:textId="77777777" w:rsidR="009A321B" w:rsidRDefault="009A321B" w:rsidP="009A321B">
      <w:pPr>
        <w:spacing w:after="0" w:line="36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587B49E" w14:textId="05D34A5B" w:rsidR="009A321B" w:rsidRPr="009A321B" w:rsidRDefault="009A321B" w:rsidP="009A321B">
      <w:pPr>
        <w:spacing w:after="0" w:line="36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A321B">
        <w:rPr>
          <w:rFonts w:ascii="Arial" w:eastAsia="Times New Roman" w:hAnsi="Arial" w:cs="Arial"/>
          <w:sz w:val="24"/>
          <w:szCs w:val="24"/>
          <w:lang w:eastAsia="pt-BR"/>
        </w:rPr>
        <w:t xml:space="preserve">No caso em tela, a acusação não apresenta nenhum outro elemento – como depoimentos, relatórios de fiscalização </w:t>
      </w:r>
      <w:r w:rsidRPr="009A321B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in loco</w:t>
      </w:r>
      <w:r w:rsidRPr="009A321B">
        <w:rPr>
          <w:rFonts w:ascii="Arial" w:eastAsia="Times New Roman" w:hAnsi="Arial" w:cs="Arial"/>
          <w:sz w:val="24"/>
          <w:szCs w:val="24"/>
          <w:lang w:eastAsia="pt-BR"/>
        </w:rPr>
        <w:t xml:space="preserve"> que identifiquem os autores, ou qualquer prova de gestão da área pelos Acusados no período dos fatos. Pelo contrário, a prova documental apresentada pela defesa (contrato de cessão) refuta a presunção criada pelo CAR.</w:t>
      </w:r>
    </w:p>
    <w:p w14:paraId="6228D43C" w14:textId="77777777" w:rsidR="009A321B" w:rsidRPr="009A321B" w:rsidRDefault="009A321B" w:rsidP="009A321B">
      <w:pPr>
        <w:spacing w:after="0" w:line="36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A321B">
        <w:rPr>
          <w:rFonts w:ascii="Arial" w:eastAsia="Times New Roman" w:hAnsi="Arial" w:cs="Arial"/>
          <w:sz w:val="24"/>
          <w:szCs w:val="24"/>
          <w:lang w:eastAsia="pt-BR"/>
        </w:rPr>
        <w:t>A ausência de justa causa para a ação penal é, portanto, manifesta.</w:t>
      </w:r>
    </w:p>
    <w:p w14:paraId="699B4649" w14:textId="77777777" w:rsidR="009A321B" w:rsidRDefault="009A321B" w:rsidP="009A321B">
      <w:pPr>
        <w:spacing w:after="0" w:line="360" w:lineRule="auto"/>
        <w:ind w:firstLine="1134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5362DC89" w14:textId="2422E441" w:rsidR="009A321B" w:rsidRPr="009A321B" w:rsidRDefault="009A321B" w:rsidP="009A321B">
      <w:pPr>
        <w:spacing w:after="0" w:line="36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A321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IV - DOS PEDIDOS</w:t>
      </w:r>
    </w:p>
    <w:p w14:paraId="464F652F" w14:textId="77777777" w:rsidR="009A321B" w:rsidRDefault="009A321B" w:rsidP="009A321B">
      <w:pPr>
        <w:spacing w:after="0" w:line="36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11516D62" w14:textId="77777777" w:rsidR="009A321B" w:rsidRDefault="009A321B" w:rsidP="009A321B">
      <w:pPr>
        <w:spacing w:after="0" w:line="36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12B34C56" w14:textId="6EE9904B" w:rsidR="009A321B" w:rsidRPr="009A321B" w:rsidRDefault="009A321B" w:rsidP="009A321B">
      <w:pPr>
        <w:spacing w:after="0" w:line="36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A321B">
        <w:rPr>
          <w:rFonts w:ascii="Arial" w:eastAsia="Times New Roman" w:hAnsi="Arial" w:cs="Arial"/>
          <w:sz w:val="24"/>
          <w:szCs w:val="24"/>
          <w:lang w:eastAsia="pt-BR"/>
        </w:rPr>
        <w:t>Ante o exposto, requer-se a Vossa Excelência:</w:t>
      </w:r>
    </w:p>
    <w:p w14:paraId="03844D8C" w14:textId="77777777" w:rsidR="009A321B" w:rsidRPr="009A321B" w:rsidRDefault="009A321B" w:rsidP="009A321B">
      <w:pPr>
        <w:spacing w:after="0" w:line="36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A321B">
        <w:rPr>
          <w:rFonts w:ascii="Arial" w:eastAsia="Times New Roman" w:hAnsi="Arial" w:cs="Arial"/>
          <w:sz w:val="24"/>
          <w:szCs w:val="24"/>
          <w:lang w:eastAsia="pt-BR"/>
        </w:rPr>
        <w:t xml:space="preserve">a) O acolhimento da preliminar de </w:t>
      </w:r>
      <w:r w:rsidRPr="009A321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ilegitimidade passiva </w:t>
      </w:r>
      <w:r w:rsidRPr="009A321B">
        <w:rPr>
          <w:rFonts w:ascii="Arial" w:eastAsia="Times New Roman" w:hAnsi="Arial" w:cs="Arial"/>
          <w:b/>
          <w:bCs/>
          <w:i/>
          <w:iCs/>
          <w:sz w:val="24"/>
          <w:szCs w:val="24"/>
          <w:lang w:eastAsia="pt-BR"/>
        </w:rPr>
        <w:t>ad causam</w:t>
      </w:r>
      <w:r w:rsidRPr="009A321B">
        <w:rPr>
          <w:rFonts w:ascii="Arial" w:eastAsia="Times New Roman" w:hAnsi="Arial" w:cs="Arial"/>
          <w:sz w:val="24"/>
          <w:szCs w:val="24"/>
          <w:lang w:eastAsia="pt-BR"/>
        </w:rPr>
        <w:t>, para o fim de rejeitar a denúncia, nos termos do art. 395, II, do Código de Processo Penal;</w:t>
      </w:r>
    </w:p>
    <w:p w14:paraId="059FA039" w14:textId="77777777" w:rsidR="009A321B" w:rsidRPr="009A321B" w:rsidRDefault="009A321B" w:rsidP="009A321B">
      <w:pPr>
        <w:spacing w:after="0" w:line="36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A321B">
        <w:rPr>
          <w:rFonts w:ascii="Arial" w:eastAsia="Times New Roman" w:hAnsi="Arial" w:cs="Arial"/>
          <w:sz w:val="24"/>
          <w:szCs w:val="24"/>
          <w:lang w:eastAsia="pt-BR"/>
        </w:rPr>
        <w:t xml:space="preserve">b) Subsidiariamente, caso não seja este o entendimento, que os Acusados sejam </w:t>
      </w:r>
      <w:r w:rsidRPr="009A321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absolvidos sumariamente</w:t>
      </w:r>
      <w:r w:rsidRPr="009A321B">
        <w:rPr>
          <w:rFonts w:ascii="Arial" w:eastAsia="Times New Roman" w:hAnsi="Arial" w:cs="Arial"/>
          <w:sz w:val="24"/>
          <w:szCs w:val="24"/>
          <w:lang w:eastAsia="pt-BR"/>
        </w:rPr>
        <w:t>, com fundamento no art. 397, III, do Código de Processo Penal, por não terem concorrido para a infração penal;</w:t>
      </w:r>
    </w:p>
    <w:p w14:paraId="57D24C33" w14:textId="77777777" w:rsidR="009A321B" w:rsidRPr="009A321B" w:rsidRDefault="009A321B" w:rsidP="009A321B">
      <w:pPr>
        <w:spacing w:after="0" w:line="36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A321B">
        <w:rPr>
          <w:rFonts w:ascii="Arial" w:eastAsia="Times New Roman" w:hAnsi="Arial" w:cs="Arial"/>
          <w:sz w:val="24"/>
          <w:szCs w:val="24"/>
          <w:lang w:eastAsia="pt-BR"/>
        </w:rPr>
        <w:t xml:space="preserve">c) Caso se entenda pelo prosseguimento do feito, o que não se espera, requer-se a </w:t>
      </w:r>
      <w:r w:rsidRPr="009A321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inclusão no polo passivo e a citação dos atuais possuidores e verdadeiros responsáveis pelo imóvel</w:t>
      </w:r>
      <w:r w:rsidRPr="009A321B">
        <w:rPr>
          <w:rFonts w:ascii="Arial" w:eastAsia="Times New Roman" w:hAnsi="Arial" w:cs="Arial"/>
          <w:sz w:val="24"/>
          <w:szCs w:val="24"/>
          <w:lang w:eastAsia="pt-BR"/>
        </w:rPr>
        <w:t xml:space="preserve">, Sr. </w:t>
      </w:r>
      <w:r w:rsidRPr="009A321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CARLOS CÉLIO FIALHO</w:t>
      </w:r>
      <w:r w:rsidRPr="009A321B">
        <w:rPr>
          <w:rFonts w:ascii="Arial" w:eastAsia="Times New Roman" w:hAnsi="Arial" w:cs="Arial"/>
          <w:sz w:val="24"/>
          <w:szCs w:val="24"/>
          <w:lang w:eastAsia="pt-BR"/>
        </w:rPr>
        <w:t xml:space="preserve">, CPF nº 345.636.871-20, e Sra. </w:t>
      </w:r>
      <w:r w:rsidRPr="009A321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IVANEIDE OLIVEIRA FIALHO</w:t>
      </w:r>
      <w:r w:rsidRPr="009A321B">
        <w:rPr>
          <w:rFonts w:ascii="Arial" w:eastAsia="Times New Roman" w:hAnsi="Arial" w:cs="Arial"/>
          <w:sz w:val="24"/>
          <w:szCs w:val="24"/>
          <w:lang w:eastAsia="pt-BR"/>
        </w:rPr>
        <w:t>, CPF nº 424.329.101-25, ambos residentes na Rua Alameda das Rosas, nº 2010, Bairro Colina Verde, Rondonópolis/MT, para que respondam pelos fatos que lhes são pertinentes;</w:t>
      </w:r>
    </w:p>
    <w:p w14:paraId="6796ED04" w14:textId="4B40BA70" w:rsidR="009A321B" w:rsidRPr="009A321B" w:rsidRDefault="009A321B" w:rsidP="00327D23">
      <w:pPr>
        <w:spacing w:after="0" w:line="36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A321B">
        <w:rPr>
          <w:rFonts w:ascii="Arial" w:eastAsia="Times New Roman" w:hAnsi="Arial" w:cs="Arial"/>
          <w:sz w:val="24"/>
          <w:szCs w:val="24"/>
          <w:lang w:eastAsia="pt-BR"/>
        </w:rPr>
        <w:t>d)</w:t>
      </w:r>
      <w:r w:rsidR="00327D23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9A321B">
        <w:rPr>
          <w:rFonts w:ascii="Arial" w:eastAsia="Times New Roman" w:hAnsi="Arial" w:cs="Arial"/>
          <w:sz w:val="24"/>
          <w:szCs w:val="24"/>
          <w:lang w:eastAsia="pt-BR"/>
        </w:rPr>
        <w:t>A produção de todas as provas em direito admitidas, em especial a prova documental já anexa e a oitiva dos cessionários do imóvel como testemunhas.</w:t>
      </w:r>
    </w:p>
    <w:p w14:paraId="0E6159D6" w14:textId="431D74FA" w:rsidR="009A321B" w:rsidRDefault="009A321B" w:rsidP="009A321B">
      <w:pPr>
        <w:spacing w:after="0" w:line="360" w:lineRule="auto"/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  <w:r w:rsidRPr="009A321B">
        <w:rPr>
          <w:rFonts w:ascii="Arial" w:eastAsia="Times New Roman" w:hAnsi="Arial" w:cs="Arial"/>
          <w:sz w:val="24"/>
          <w:szCs w:val="24"/>
          <w:lang w:eastAsia="pt-BR"/>
        </w:rPr>
        <w:t>Termos em que,</w:t>
      </w:r>
    </w:p>
    <w:p w14:paraId="240F99DB" w14:textId="7BDDFDDF" w:rsidR="009A321B" w:rsidRPr="009A321B" w:rsidRDefault="009A321B" w:rsidP="009A321B">
      <w:pPr>
        <w:spacing w:after="0" w:line="360" w:lineRule="auto"/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  <w:r w:rsidRPr="009A321B">
        <w:rPr>
          <w:rFonts w:ascii="Arial" w:eastAsia="Times New Roman" w:hAnsi="Arial" w:cs="Arial"/>
          <w:sz w:val="24"/>
          <w:szCs w:val="24"/>
          <w:lang w:eastAsia="pt-BR"/>
        </w:rPr>
        <w:t>Pede deferimento.</w:t>
      </w:r>
    </w:p>
    <w:p w14:paraId="1EEFD0D7" w14:textId="77777777" w:rsidR="00EA42F6" w:rsidRPr="009A321B" w:rsidRDefault="00EA42F6" w:rsidP="009A321B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sectPr w:rsidR="00EA42F6" w:rsidRPr="009A32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D5AEF"/>
    <w:multiLevelType w:val="multilevel"/>
    <w:tmpl w:val="B42A2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7448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21B"/>
    <w:rsid w:val="00245463"/>
    <w:rsid w:val="00327D23"/>
    <w:rsid w:val="009A321B"/>
    <w:rsid w:val="00EA42F6"/>
    <w:rsid w:val="00FE7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67370"/>
  <w15:chartTrackingRefBased/>
  <w15:docId w15:val="{967B9519-3990-463C-BF95-1A2497AE3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A32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9A321B"/>
    <w:rPr>
      <w:b/>
      <w:bCs/>
    </w:rPr>
  </w:style>
  <w:style w:type="character" w:styleId="nfase">
    <w:name w:val="Emphasis"/>
    <w:basedOn w:val="Fontepargpadro"/>
    <w:uiPriority w:val="20"/>
    <w:qFormat/>
    <w:rsid w:val="009A321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805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5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96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3560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183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2373</Words>
  <Characters>12815</Characters>
  <Application>Microsoft Office Word</Application>
  <DocSecurity>0</DocSecurity>
  <Lines>106</Lines>
  <Paragraphs>30</Paragraphs>
  <ScaleCrop>false</ScaleCrop>
  <Company/>
  <LinksUpToDate>false</LinksUpToDate>
  <CharactersWithSpaces>15158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 - PC</dc:creator>
  <cp:keywords/>
  <dc:description/>
  <cp:lastModifiedBy>Victor Gomes</cp:lastModifiedBy>
  <cp:revision>3</cp:revision>
  <dcterms:created xsi:type="dcterms:W3CDTF">2026-06-29T14:55:00Z</dcterms:created>
  <dcterms:modified xsi:type="dcterms:W3CDTF">2026-06-29T14:55:00Z</dcterms:modified>
</cp:coreProperties>
</file>