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851D" w14:textId="6B3770AA" w:rsidR="00C8245E" w:rsidRPr="00C8245E" w:rsidRDefault="00C8245E" w:rsidP="00C8175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245E">
        <w:rPr>
          <w:rFonts w:ascii="Times New Roman" w:hAnsi="Times New Roman" w:cs="Times New Roman"/>
          <w:b/>
          <w:bCs/>
          <w:sz w:val="28"/>
          <w:szCs w:val="28"/>
          <w:u w:val="single"/>
        </w:rPr>
        <w:t>PROMPT UTILIZADOS</w:t>
      </w:r>
    </w:p>
    <w:p w14:paraId="41CF20AC" w14:textId="77777777" w:rsid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69680A6" w14:textId="35E23319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C8175B">
        <w:rPr>
          <w:rFonts w:ascii="Times New Roman" w:hAnsi="Times New Roman" w:cs="Times New Roman"/>
          <w:b/>
          <w:bCs/>
        </w:rPr>
        <w:t>Prompt</w:t>
      </w:r>
      <w:proofErr w:type="spellEnd"/>
      <w:r w:rsidRPr="00C8175B">
        <w:rPr>
          <w:rFonts w:ascii="Times New Roman" w:hAnsi="Times New Roman" w:cs="Times New Roman"/>
          <w:b/>
          <w:bCs/>
        </w:rPr>
        <w:t xml:space="preserve"> 1 – Validación de conclusiones y búsqueda de sesgos</w:t>
      </w:r>
    </w:p>
    <w:p w14:paraId="66D23E43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 xml:space="preserve">Actúa como auditor cognitivo de un dashboard de una empresa ficticia de </w:t>
      </w:r>
      <w:proofErr w:type="spellStart"/>
      <w:r w:rsidRPr="00C8175B">
        <w:rPr>
          <w:rFonts w:ascii="Times New Roman" w:hAnsi="Times New Roman" w:cs="Times New Roman"/>
        </w:rPr>
        <w:t>retail</w:t>
      </w:r>
      <w:proofErr w:type="spellEnd"/>
      <w:r w:rsidRPr="00C8175B">
        <w:rPr>
          <w:rFonts w:ascii="Times New Roman" w:hAnsi="Times New Roman" w:cs="Times New Roman"/>
        </w:rPr>
        <w:t>. Quiero que revises mi análisis y cuestiones mis conclusiones.</w:t>
      </w:r>
    </w:p>
    <w:p w14:paraId="2AAB8800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El dashboard presenta estos resultados:</w:t>
      </w:r>
    </w:p>
    <w:p w14:paraId="118D44EA" w14:textId="77777777" w:rsidR="00C8175B" w:rsidRPr="00C8175B" w:rsidRDefault="00C8175B" w:rsidP="00C8175B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Ventas netas de 2026: $60.733 MM.</w:t>
      </w:r>
    </w:p>
    <w:p w14:paraId="73998179" w14:textId="77777777" w:rsidR="00C8175B" w:rsidRPr="00C8175B" w:rsidRDefault="00C8175B" w:rsidP="00C8175B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Meta mensual de ventas: $5.100 MM.</w:t>
      </w:r>
    </w:p>
    <w:p w14:paraId="6308EF33" w14:textId="77777777" w:rsidR="00C8175B" w:rsidRPr="00C8175B" w:rsidRDefault="00C8175B" w:rsidP="00C8175B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Solo 5 de los 12 meses superan la meta mensual.</w:t>
      </w:r>
    </w:p>
    <w:p w14:paraId="68CD5543" w14:textId="77777777" w:rsidR="00C8175B" w:rsidRPr="00C8175B" w:rsidRDefault="00C8175B" w:rsidP="00C8175B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Cumplimiento de la meta anual: 99,2%.</w:t>
      </w:r>
    </w:p>
    <w:p w14:paraId="284CCE19" w14:textId="77777777" w:rsidR="00C8175B" w:rsidRPr="00C8175B" w:rsidRDefault="00C8175B" w:rsidP="00C8175B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Margen de contribución: 32,4%, frente a una meta del 35%.</w:t>
      </w:r>
    </w:p>
    <w:p w14:paraId="258B57FF" w14:textId="77777777" w:rsidR="00C8175B" w:rsidRPr="00C8175B" w:rsidRDefault="00C8175B" w:rsidP="00C8175B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Costo de mercadería: 62% de las ventas netas.</w:t>
      </w:r>
    </w:p>
    <w:p w14:paraId="6DBB8CFA" w14:textId="77777777" w:rsidR="00C8175B" w:rsidRPr="00C8175B" w:rsidRDefault="00C8175B" w:rsidP="00C8175B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Crecimiento del segundo semestre respecto del primero: 2,3%.</w:t>
      </w:r>
    </w:p>
    <w:p w14:paraId="4F1C4DA1" w14:textId="77777777" w:rsidR="00C8175B" w:rsidRPr="00C8175B" w:rsidRDefault="00C8175B" w:rsidP="00C8175B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Participación por categoría: entre 24,6% y 25,6%.</w:t>
      </w:r>
    </w:p>
    <w:p w14:paraId="0BDAE83E" w14:textId="77777777" w:rsidR="00C8175B" w:rsidRPr="00C8175B" w:rsidRDefault="00C8175B" w:rsidP="00C8175B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No dispongo de datos de 2025 para calcular una variación interanual.</w:t>
      </w:r>
    </w:p>
    <w:p w14:paraId="680C4253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Mis conclusiones iniciales son:</w:t>
      </w:r>
    </w:p>
    <w:p w14:paraId="39596602" w14:textId="77777777" w:rsidR="00C8175B" w:rsidRPr="00C8175B" w:rsidRDefault="00C8175B" w:rsidP="00C8175B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Las ventas son estables y no despegan, porque solo cinco meses superan la meta.</w:t>
      </w:r>
    </w:p>
    <w:p w14:paraId="35AB3E3B" w14:textId="77777777" w:rsidR="00C8175B" w:rsidRPr="00C8175B" w:rsidRDefault="00C8175B" w:rsidP="00C8175B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El margen está por debajo del objetivo y el costo de mercadería es su principal responsable.</w:t>
      </w:r>
    </w:p>
    <w:p w14:paraId="057F3FAB" w14:textId="77777777" w:rsidR="00C8175B" w:rsidRPr="00C8175B" w:rsidRDefault="00C8175B" w:rsidP="00C8175B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Ninguna categoría domina: Tecnología representa el 25,6% y Línea Blanca el 24,6%.</w:t>
      </w:r>
    </w:p>
    <w:p w14:paraId="7DBA3B9D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Identifica sesgos, errores de lógica y explicaciones alternativas en cada conclusión. Revisa especialmente si cumplir una meta permite evaluar una tendencia, si comparar dos semestres demuestra crecimiento y si el peso de un costo permite atribuirle la causa del incumplimiento del margen.</w:t>
      </w:r>
    </w:p>
    <w:p w14:paraId="6C8DF496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Distingue hechos observados de hipótesis. No inventes datos. Indica qué información adicional necesitaría y cómo podría reformular cada conclusión con mayor precisión.</w:t>
      </w:r>
    </w:p>
    <w:p w14:paraId="5C84DE5B" w14:textId="77777777" w:rsidR="00C8245E" w:rsidRPr="00C8245E" w:rsidRDefault="00C8245E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647604E5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C8175B">
        <w:rPr>
          <w:rFonts w:ascii="Times New Roman" w:hAnsi="Times New Roman" w:cs="Times New Roman"/>
          <w:b/>
          <w:bCs/>
        </w:rPr>
        <w:t>Prompt</w:t>
      </w:r>
      <w:proofErr w:type="spellEnd"/>
      <w:r w:rsidRPr="00C8175B">
        <w:rPr>
          <w:rFonts w:ascii="Times New Roman" w:hAnsi="Times New Roman" w:cs="Times New Roman"/>
          <w:b/>
          <w:bCs/>
        </w:rPr>
        <w:t xml:space="preserve"> 2 – Abogado del diablo sobre el margen</w:t>
      </w:r>
    </w:p>
    <w:p w14:paraId="1EA6BDD4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Mi dashboard incluye un gráfico de cascada con esta secuencia: venta bruta, descuentos, venta neta, costo de mercadería, logística, comisiones y margen de contribución.</w:t>
      </w:r>
    </w:p>
    <w:p w14:paraId="7DCD326C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Los descuentos representan el 5,9% de la venta bruta. El costo de mercadería se calcula mediante un supuesto fijo del 62% de la venta neta. El margen de contribución resultante es del 32,4%, por debajo de la meta del 35%.</w:t>
      </w:r>
    </w:p>
    <w:p w14:paraId="44145338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Actúa como abogado del diablo. ¿Qué limitaciones tiene afirmar que el costo de mercadería es el principal responsable de no alcanzar la meta?</w:t>
      </w:r>
    </w:p>
    <w:p w14:paraId="5AC95A18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Considera posibles diferencias de costos entre productos, mezcla de categorías, descuentos, logística y reglas de cálculo de comisiones. No supongas que alguna de estas causas está comprobada.</w:t>
      </w:r>
    </w:p>
    <w:p w14:paraId="799220E2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Indica qué datos reales necesitaría para validar las hipótesis y propone una nota breve para el dashboard que explique que el margen depende de supuestos del modelo.</w:t>
      </w:r>
    </w:p>
    <w:p w14:paraId="1FDFB18F" w14:textId="5A50AFD3" w:rsidR="00283BE2" w:rsidRDefault="00283BE2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0D0EEAF5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C8175B">
        <w:rPr>
          <w:rFonts w:ascii="Times New Roman" w:hAnsi="Times New Roman" w:cs="Times New Roman"/>
          <w:b/>
          <w:bCs/>
        </w:rPr>
        <w:t>Prompt</w:t>
      </w:r>
      <w:proofErr w:type="spellEnd"/>
      <w:r w:rsidRPr="00C8175B">
        <w:rPr>
          <w:rFonts w:ascii="Times New Roman" w:hAnsi="Times New Roman" w:cs="Times New Roman"/>
          <w:b/>
          <w:bCs/>
        </w:rPr>
        <w:t xml:space="preserve"> 3 – Concentración por categoría y calidad de datos</w:t>
      </w:r>
    </w:p>
    <w:p w14:paraId="105877CC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lastRenderedPageBreak/>
        <w:t>En mi dashboard, las cuatro categorías tienen participaciones sobre las ventas netas que oscilan entre el 24,6% y el 25,6%. Tecnología lidera con el 25,6% y Línea Blanca tiene el 24,6%.</w:t>
      </w:r>
    </w:p>
    <w:p w14:paraId="2CF888D4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También existen registros clasificados como “Cliente no identificado” y una región denominada “Sin información”.</w:t>
      </w:r>
    </w:p>
    <w:p w14:paraId="55A5FDF0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Mi conclusión es que ninguna categoría domina las ventas. Revisa si esta afirmación es válida para el período y los filtros analizados.</w:t>
      </w:r>
    </w:p>
    <w:p w14:paraId="5C0BC09E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Explica qué comprobaciones debería realizar para asegurar que la distribución no se deba a problemas de clasificación, duplicados o características de los datos simulados.</w:t>
      </w:r>
    </w:p>
    <w:p w14:paraId="49E964D5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Analiza por separado cómo los registros sin cliente o región podrían limitar el análisis geográfico. No afirmes que distorsionan las participaciones por categoría sin evidencia.</w:t>
      </w:r>
    </w:p>
    <w:p w14:paraId="19CE2DC0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Propón una nota de calidad de datos y acciones concretas para mejorar el maestro de clientes y la asignación de regiones.</w:t>
      </w:r>
    </w:p>
    <w:p w14:paraId="63C4300A" w14:textId="77777777" w:rsid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613A0021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C8175B">
        <w:rPr>
          <w:rFonts w:ascii="Times New Roman" w:hAnsi="Times New Roman" w:cs="Times New Roman"/>
          <w:b/>
          <w:bCs/>
        </w:rPr>
        <w:t>Prompt</w:t>
      </w:r>
      <w:proofErr w:type="spellEnd"/>
      <w:r w:rsidRPr="00C8175B">
        <w:rPr>
          <w:rFonts w:ascii="Times New Roman" w:hAnsi="Times New Roman" w:cs="Times New Roman"/>
          <w:b/>
          <w:bCs/>
        </w:rPr>
        <w:t xml:space="preserve"> 4 – Refinamiento de la narrativa y del diseño</w:t>
      </w:r>
    </w:p>
    <w:p w14:paraId="0923E681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 xml:space="preserve">Estoy terminando la pestaña “Dashboard Final” de un archivo de Excel para una empresa ficticia de </w:t>
      </w:r>
      <w:proofErr w:type="spellStart"/>
      <w:r w:rsidRPr="00C8175B">
        <w:rPr>
          <w:rFonts w:ascii="Times New Roman" w:hAnsi="Times New Roman" w:cs="Times New Roman"/>
        </w:rPr>
        <w:t>retail</w:t>
      </w:r>
      <w:proofErr w:type="spellEnd"/>
      <w:r w:rsidRPr="00C8175B">
        <w:rPr>
          <w:rFonts w:ascii="Times New Roman" w:hAnsi="Times New Roman" w:cs="Times New Roman"/>
        </w:rPr>
        <w:t>.</w:t>
      </w:r>
    </w:p>
    <w:p w14:paraId="414EA7A6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El dashboard contiene tarjetas de ventas netas, margen de contribución y variación del segundo semestre respecto del primero; gráficos de evolución mensual, participación por categoría y una cascada del margen; y segmentadores de tiempo, categoría y región.</w:t>
      </w:r>
    </w:p>
    <w:p w14:paraId="01825B68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La revisión del análisis identificó estas limitaciones:</w:t>
      </w:r>
    </w:p>
    <w:p w14:paraId="00F95EEE" w14:textId="77777777" w:rsidR="00C8175B" w:rsidRPr="00C8175B" w:rsidRDefault="00C8175B" w:rsidP="00C8175B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No hay datos de 2025 para calcular crecimiento interanual.</w:t>
      </w:r>
    </w:p>
    <w:p w14:paraId="79BB8223" w14:textId="77777777" w:rsidR="00C8175B" w:rsidRPr="00C8175B" w:rsidRDefault="00C8175B" w:rsidP="00C8175B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El costo de mercadería utiliza una tasa fija del 62%, no costos reales por producto.</w:t>
      </w:r>
    </w:p>
    <w:p w14:paraId="297C6E77" w14:textId="77777777" w:rsidR="00C8175B" w:rsidRPr="00C8175B" w:rsidRDefault="00C8175B" w:rsidP="00C8175B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Hay registros sin cliente o región identificados.</w:t>
      </w:r>
    </w:p>
    <w:p w14:paraId="25A68C32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Propón títulos narrativos, notas explicativas y ajustes visuales que comuniquen los resultados y estas limitaciones de forma clara.</w:t>
      </w:r>
    </w:p>
    <w:p w14:paraId="015D2027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 xml:space="preserve">Mantén un fondo sobrio, objetos alineados y un máximo de tres colores principales. Sugiere cómo aplicar formato condicional a los </w:t>
      </w:r>
      <w:proofErr w:type="spellStart"/>
      <w:r w:rsidRPr="00C8175B">
        <w:rPr>
          <w:rFonts w:ascii="Times New Roman" w:hAnsi="Times New Roman" w:cs="Times New Roman"/>
        </w:rPr>
        <w:t>KPIs</w:t>
      </w:r>
      <w:proofErr w:type="spellEnd"/>
      <w:r w:rsidRPr="00C8175B">
        <w:rPr>
          <w:rFonts w:ascii="Times New Roman" w:hAnsi="Times New Roman" w:cs="Times New Roman"/>
        </w:rPr>
        <w:t xml:space="preserve"> según sus metas.</w:t>
      </w:r>
    </w:p>
    <w:p w14:paraId="6CA71E4E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C8175B">
        <w:rPr>
          <w:rFonts w:ascii="Times New Roman" w:hAnsi="Times New Roman" w:cs="Times New Roman"/>
        </w:rPr>
        <w:t>Indica qué títulos deben cambiar al utilizar los segmentadores y qué cálculos deben respaldarlos. Evita que un título siga afirmando “5 de 12 meses” o mencionando una categoría líder cuando los filtros cambien esos resultados.</w:t>
      </w:r>
    </w:p>
    <w:p w14:paraId="382FC35F" w14:textId="77777777" w:rsidR="00C8175B" w:rsidRPr="00C8175B" w:rsidRDefault="00C8175B" w:rsidP="00C8175B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s-ES"/>
        </w:rPr>
      </w:pPr>
    </w:p>
    <w:sectPr w:rsidR="00C8175B" w:rsidRPr="00C8175B" w:rsidSect="00F21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647F"/>
    <w:multiLevelType w:val="multilevel"/>
    <w:tmpl w:val="60EE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E71676"/>
    <w:multiLevelType w:val="multilevel"/>
    <w:tmpl w:val="BD4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C48FB"/>
    <w:multiLevelType w:val="multilevel"/>
    <w:tmpl w:val="01D6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149577">
    <w:abstractNumId w:val="2"/>
  </w:num>
  <w:num w:numId="2" w16cid:durableId="1847281388">
    <w:abstractNumId w:val="0"/>
  </w:num>
  <w:num w:numId="3" w16cid:durableId="736437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4A"/>
    <w:rsid w:val="00035760"/>
    <w:rsid w:val="00085252"/>
    <w:rsid w:val="000E1034"/>
    <w:rsid w:val="00152EEC"/>
    <w:rsid w:val="00170DAB"/>
    <w:rsid w:val="00276AE3"/>
    <w:rsid w:val="00283BE2"/>
    <w:rsid w:val="002C1615"/>
    <w:rsid w:val="002C3604"/>
    <w:rsid w:val="00520769"/>
    <w:rsid w:val="00555628"/>
    <w:rsid w:val="005762DA"/>
    <w:rsid w:val="005D223A"/>
    <w:rsid w:val="00601BAC"/>
    <w:rsid w:val="00683288"/>
    <w:rsid w:val="00692D2F"/>
    <w:rsid w:val="00747027"/>
    <w:rsid w:val="00777BCE"/>
    <w:rsid w:val="007E363A"/>
    <w:rsid w:val="00882A75"/>
    <w:rsid w:val="0089422F"/>
    <w:rsid w:val="008955CF"/>
    <w:rsid w:val="0094730A"/>
    <w:rsid w:val="00AA444A"/>
    <w:rsid w:val="00BC7AFC"/>
    <w:rsid w:val="00BD2DB1"/>
    <w:rsid w:val="00C8175B"/>
    <w:rsid w:val="00C8245E"/>
    <w:rsid w:val="00CA1B9B"/>
    <w:rsid w:val="00DA4D63"/>
    <w:rsid w:val="00F2095D"/>
    <w:rsid w:val="00F21F11"/>
    <w:rsid w:val="00F937EC"/>
    <w:rsid w:val="00FE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08B6C"/>
  <w15:chartTrackingRefBased/>
  <w15:docId w15:val="{CA6CBDA1-99C3-4549-953B-40FD5659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4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4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4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4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4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4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4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4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4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4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696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braulio acosta</dc:creator>
  <cp:keywords/>
  <dc:description/>
  <cp:lastModifiedBy>vicente braulio acosta</cp:lastModifiedBy>
  <cp:revision>2</cp:revision>
  <dcterms:created xsi:type="dcterms:W3CDTF">2026-10-04T19:14:00Z</dcterms:created>
  <dcterms:modified xsi:type="dcterms:W3CDTF">2026-10-04T20:08:00Z</dcterms:modified>
</cp:coreProperties>
</file>