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C40C" w14:textId="77777777" w:rsidR="00044EAC" w:rsidRPr="001876A6" w:rsidRDefault="00000000">
      <w:pPr>
        <w:pStyle w:val="af3"/>
        <w:rPr>
          <w:rFonts w:ascii="宋体" w:eastAsia="宋体" w:hAnsi="宋体"/>
          <w:b/>
          <w:bCs/>
          <w:sz w:val="44"/>
          <w:szCs w:val="44"/>
          <w:lang w:eastAsia="zh-CN"/>
        </w:rPr>
      </w:pPr>
      <w:r w:rsidRPr="001876A6">
        <w:rPr>
          <w:rFonts w:ascii="宋体" w:eastAsia="宋体" w:hAnsi="宋体"/>
          <w:b/>
          <w:bCs/>
          <w:sz w:val="44"/>
          <w:szCs w:val="44"/>
          <w:lang w:eastAsia="zh-CN"/>
        </w:rPr>
        <w:t>2026Q3 北交所新股复盘报告</w:t>
      </w:r>
    </w:p>
    <w:p w14:paraId="1A39CED0" w14:textId="77777777" w:rsidR="00044EAC" w:rsidRDefault="00044EAC">
      <w:pPr>
        <w:rPr>
          <w:rFonts w:hint="eastAsia"/>
          <w:b/>
          <w:lang w:eastAsia="zh-CN"/>
        </w:rPr>
      </w:pPr>
    </w:p>
    <w:p w14:paraId="36BFBBDC" w14:textId="77777777" w:rsidR="00044EAC" w:rsidRDefault="00000000">
      <w:pPr>
        <w:rPr>
          <w:rFonts w:hint="eastAsia"/>
          <w:b/>
          <w:lang w:eastAsia="zh-CN"/>
        </w:rPr>
      </w:pPr>
      <w:r>
        <w:rPr>
          <w:b/>
          <w:lang w:eastAsia="zh-CN"/>
        </w:rPr>
        <w:t>Q3 北交所新股申购端</w:t>
      </w:r>
      <w:r>
        <w:rPr>
          <w:rFonts w:hint="eastAsia"/>
          <w:b/>
          <w:lang w:eastAsia="zh-CN"/>
        </w:rPr>
        <w:t>资金更加拥挤</w:t>
      </w:r>
      <w:r>
        <w:rPr>
          <w:b/>
          <w:lang w:eastAsia="zh-CN"/>
        </w:rPr>
        <w:t>，但上市首日的典型定价和次日承接走弱。单只冻资中位数升至1.14万亿元，首日收盘涨幅中位数却由Q2的235.1%降至132.7%。</w:t>
      </w:r>
    </w:p>
    <w:p w14:paraId="7496A688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分户曲线补充了总量数据看不到的变化。各新股户均申购金额的中位值由176.2万元小幅降至174.4万元，同时模型推断的千万元以上账户数中位值增长35.9%，大户资金能力也上移。整体平均数稳定，可以与资金分布上端扩张并存。</w:t>
      </w:r>
    </w:p>
    <w:p w14:paraId="527FB7C6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上市端的变化涉及规模、行业和炒新节奏。较大发行项目及高端装备的典型涨幅回落更明显；半导体样本相对较强。明星新股上市和跨市场爆炒仍能激活局部行情，但次日低开损失限制了这种热度的延续。</w:t>
      </w:r>
    </w:p>
    <w:p w14:paraId="08BA1740" w14:textId="77777777" w:rsidR="00044EAC" w:rsidRDefault="00000000">
      <w:pPr>
        <w:pStyle w:val="21"/>
      </w:pPr>
      <w:r>
        <w:t>表</w:t>
      </w:r>
      <w:r>
        <w:t xml:space="preserve">1 </w:t>
      </w:r>
      <w:r>
        <w:t>三个季度的主要指标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1587"/>
        <w:gridCol w:w="1587"/>
        <w:gridCol w:w="1644"/>
      </w:tblGrid>
      <w:tr w:rsidR="00044EAC" w14:paraId="6CDBBF50" w14:textId="77777777">
        <w:trPr>
          <w:cantSplit/>
          <w:tblHeader/>
          <w:jc w:val="center"/>
        </w:trPr>
        <w:tc>
          <w:tcPr>
            <w:tcW w:w="4592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AB070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58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FAFC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58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6244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64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A953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Q3</w:t>
            </w:r>
          </w:p>
        </w:tc>
      </w:tr>
      <w:tr w:rsidR="00044EAC" w14:paraId="3B1938AF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759D2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实际上市样本 只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DAD9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8A38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76B56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26</w:t>
            </w:r>
          </w:p>
        </w:tc>
      </w:tr>
      <w:tr w:rsidR="00044EAC" w14:paraId="6992EAC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A0615F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发行金额中位数 亿元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648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2.82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50B7C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2.94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298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3.29</w:t>
            </w:r>
          </w:p>
        </w:tc>
      </w:tr>
      <w:tr w:rsidR="00044EAC" w14:paraId="4B3AAFC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638AD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单只冻资中位数 亿元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F910E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8,474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A2F6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8,951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C9792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11,432</w:t>
            </w:r>
          </w:p>
        </w:tc>
      </w:tr>
      <w:tr w:rsidR="00044EAC" w14:paraId="517268F5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7405D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有效申购账户中位数 万户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CF10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57.08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83B3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52.26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48F8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62.27</w:t>
            </w:r>
          </w:p>
        </w:tc>
      </w:tr>
      <w:tr w:rsidR="00044EAC" w14:paraId="24FFE4AC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16D13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各股户均申购金额中位值 万元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2453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150.1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674F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176.2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114E9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174.4</w:t>
            </w:r>
          </w:p>
        </w:tc>
      </w:tr>
      <w:tr w:rsidR="00044EAC" w14:paraId="69109E94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465B7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发行市盈率中位数 倍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EDF0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14.99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F805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14.99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C41A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14.94</w:t>
            </w:r>
          </w:p>
        </w:tc>
      </w:tr>
      <w:tr w:rsidR="00044EAC" w14:paraId="6656EB67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82F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首日收盘涨幅中位数 %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CCE01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151.1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EED6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235.1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6C16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132.7</w:t>
            </w:r>
          </w:p>
        </w:tc>
      </w:tr>
      <w:tr w:rsidR="00044EAC" w14:paraId="5F2384DA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1BDD6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首日成交均价涨幅中位数 %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C986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142.0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F833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208.3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94F4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139.3</w:t>
            </w:r>
          </w:p>
        </w:tc>
      </w:tr>
      <w:tr w:rsidR="00044EAC" w14:paraId="48071FB6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C772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首日换手率中位数 %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4432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83.3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1E2B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90.2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4AB9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94.5</w:t>
            </w:r>
          </w:p>
        </w:tc>
      </w:tr>
      <w:tr w:rsidR="00044EAC" w14:paraId="5FEE7B1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865E1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次日开盘相对首日收盘 中位数 %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93DA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-7.1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CE41F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-8.5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5CA4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 xml:space="preserve">-13.8</w:t>
            </w:r>
          </w:p>
        </w:tc>
      </w:tr>
      <w:tr w:rsidR="00044EAC" w14:paraId="53CB44D8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5AF2C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次日收盘相对首日收盘 中位数 %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E083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-10.2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9D3E8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-2.6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3BA9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 xml:space="preserve">-18.1</w:t>
            </w:r>
          </w:p>
        </w:tc>
      </w:tr>
    </w:tbl>
    <w:p w14:paraId="381CFF91" w14:textId="77777777" w:rsidR="00044EAC" w:rsidRDefault="00044EAC">
      <w:pPr>
        <w:spacing w:after="0"/>
        <w:rPr>
          <w:rFonts w:hint="eastAsia"/>
        </w:rPr>
      </w:pPr>
    </w:p>
    <w:p w14:paraId="4B852322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 xml:space="preserve">样本按实际上市日期归季。Q2有效申购账户及各股户均金额可用18只；次日开盘和收盘数据Q1/Q2/Q3分别可用16/20/26只，Q3已补齐。成交均价指全天成交额除以成交量，即VWAP。</w:t>
      </w:r>
    </w:p>
    <w:p w14:paraId="4DA1B7CD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151541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发行扩容与申购拥挤加深</w:t>
      </w:r>
    </w:p>
    <w:p w14:paraId="53DD3A06" w14:textId="26827A1A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Q3共26只新股上市，较Q2增加30%；发行总额由65.13亿元升至93.23亿元，增长43.1%，单只发行额中位数也从2.94亿元升至3.29亿元。供给扩容既来自上市数量增加，也来自典型发行项目变大。发行市盈率中位数仍接近15倍，因此首日溢价</w:t>
      </w:r>
      <w:r w:rsidR="00073DD1">
        <w:rPr>
          <w:rFonts w:hint="eastAsia"/>
          <w:lang w:eastAsia="zh-CN"/>
        </w:rPr>
        <w:t>收窄与</w:t>
      </w:r>
      <w:r>
        <w:rPr>
          <w:lang w:eastAsia="zh-CN"/>
        </w:rPr>
        <w:t>发行市盈率</w:t>
      </w:r>
      <w:r w:rsidR="00073DD1">
        <w:rPr>
          <w:rFonts w:hint="eastAsia"/>
          <w:lang w:eastAsia="zh-CN"/>
        </w:rPr>
        <w:t>关系不大</w:t>
      </w:r>
      <w:r>
        <w:rPr>
          <w:lang w:eastAsia="zh-CN"/>
        </w:rPr>
        <w:t>。</w:t>
      </w:r>
    </w:p>
    <w:p w14:paraId="6907E918" w14:textId="2685CF3A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需求端增长更快。单只冻资中位数从Q1的8474亿元、Q2的8951亿元升至Q3的11432亿元，Q3较Q2增长27.7%；有效申购账户中位数从52.26万户升至62.27万户，增长19.2%。Q3有18只股票冻资超过1万亿元，Q2为4只，申购拥挤已经从少数项目扩大到多数项目。</w:t>
      </w:r>
      <w:r w:rsidR="00176EDD">
        <w:rPr>
          <w:lang w:eastAsia="zh-CN"/>
        </w:rPr>
        <w:t>申购倍数中位数由Q2的3585倍升至Q3的4152倍，配售比例中位数从0.0279%降至0.0241%。</w:t>
      </w:r>
    </w:p>
    <w:p w14:paraId="6F8633A7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0B40B7AD" wp14:editId="4CD317E0">
            <wp:extent cx="5970905" cy="2415540"/>
            <wp:effectExtent l="0" t="0" r="10795" b="3810"/>
            <wp:docPr id="1" name="Picture 1" descr="图1 申购端扩容与上市端典型溢价回落  各指标均先按股票计算再取季度中位数" title="图1 申购端扩容与上市端典型溢价回落  各指标均先按股票计算再取季度中位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1 申购端扩容与上市端典型溢价回落  各指标均先按股票计算再取季度中位数" title="图1 申购端扩容与上市端典型溢价回落  各指标均先按股票计算再取季度中位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4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A21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图1 申购端扩容与上市端典型溢价回落  各指标均先按股票计算再取季度中位数</w:t>
      </w:r>
    </w:p>
    <w:p w14:paraId="39DCC54D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主表按上市日分组，以便把发行、申购和上市表现放在同一批股票上比较。改按申购日分组，Q1、Q2、Q3各有18、21、26个项目，冻资中位数分别为8474、9455、11656亿元，户均申购金额的中位值分别为156.5、178.0、175.9万元。方向一致，说明申购端扩容不是由跨季度上市安排单独造成的。</w:t>
      </w:r>
    </w:p>
    <w:p w14:paraId="6589F8B5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发行额为发行价格乘以总发行股数；申购倍数使用网上发行资金口径。两者不是同一分母。</w:t>
      </w:r>
    </w:p>
    <w:p w14:paraId="79171A82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60D681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固定金额账户的最优规模先扩大后收敛</w:t>
      </w:r>
    </w:p>
    <w:p w14:paraId="4C11CE48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按平均单次毛收益除以固定账户资金衡量，事后最优规模由Q1约1100万元升至Q2约1600万元，Q3回到约1000万元。这里固定账户资金B，每只股票申购额不超过B及该股上限，按实际比例与手工余股门槛复算获配，假设以首日成交均价退出；超过申购上限的闲置资金仍计入B。</w:t>
      </w:r>
    </w:p>
    <w:p w14:paraId="62237B91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2 </w:t>
      </w:r>
      <w:r>
        <w:rPr>
          <w:lang w:eastAsia="zh-CN"/>
        </w:rPr>
        <w:t>固定金额账户的季度收益效率比较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92"/>
        <w:gridCol w:w="1587"/>
        <w:gridCol w:w="1587"/>
        <w:gridCol w:w="1644"/>
      </w:tblGrid>
      <w:tr w:rsidR="00044EAC" w14:paraId="6080A71D" w14:textId="77777777">
        <w:trPr>
          <w:cantSplit/>
          <w:tblHeader/>
          <w:jc w:val="center"/>
        </w:trPr>
        <w:tc>
          <w:tcPr>
            <w:tcW w:w="4592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85A9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58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848C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58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D69D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64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22BA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Q3</w:t>
            </w:r>
          </w:p>
        </w:tc>
      </w:tr>
      <w:tr w:rsidR="00044EAC" w14:paraId="399BAE8E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7E564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实际上市样本 只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80FB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F7F8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D142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26</w:t>
            </w:r>
          </w:p>
        </w:tc>
      </w:tr>
      <w:tr w:rsidR="00044EAC" w14:paraId="45B4E36B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45DDF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毛收益效率最优资金 万元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1F72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1,088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33D0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1,587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A0A2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961</w:t>
            </w:r>
          </w:p>
        </w:tc>
      </w:tr>
      <w:tr w:rsidR="00044EAC" w14:paraId="3AEB6DC9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56ADE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峰值平均单次毛收益 bp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1AF2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5.17–5.67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8A13B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7.13–8.48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3EA9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3.85–4.59</w:t>
            </w:r>
          </w:p>
        </w:tc>
      </w:tr>
      <w:tr w:rsidR="00044EAC" w14:paraId="60FBEF31" w14:textId="77777777">
        <w:trPr>
          <w:cantSplit/>
          <w:jc w:val="center"/>
        </w:trPr>
        <w:tc>
          <w:tcPr>
            <w:tcW w:w="459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F8412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固定1000万元平均单次毛收益 bp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A8E6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4.63–5.17</w:t>
            </w:r>
          </w:p>
        </w:tc>
        <w:tc>
          <w:tcPr>
            <w:tcW w:w="158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9562E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6.05–7.58</w:t>
            </w:r>
          </w:p>
        </w:tc>
        <w:tc>
          <w:tcPr>
            <w:tcW w:w="164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F0F5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3.70–4.41</w:t>
            </w:r>
          </w:p>
        </w:tc>
      </w:tr>
    </w:tbl>
    <w:p w14:paraId="2EA20772" w14:textId="77777777" w:rsidR="00044EAC" w:rsidRDefault="00000000">
      <w:pPr>
        <w:spacing w:before="120" w:after="8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收益区间仅反映需要“抢时间”的余股全部未获配或全部获配两种情景，不是统计置信区间。1 bp＝0.01%。各季度最优点均由同一范围内的资金档位比较得出。</w:t>
      </w:r>
    </w:p>
    <w:p w14:paraId="190462E1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5947D6C6" wp14:editId="34074113">
            <wp:extent cx="5970905" cy="2145030"/>
            <wp:effectExtent l="0" t="0" r="10795" b="7620"/>
            <wp:docPr id="8" name="Picture 8" descr="固定账户资金与平均单次毛收益的季度比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固定账户资金与平均单次毛收益的季度比较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14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09A2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图2 固定账户资金的毛收益效率曲线  实线不计同额抢时余股  阴影上沿计入该余股</w:t>
      </w:r>
    </w:p>
    <w:p w14:paraId="5E487905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最优账户规模没有随申购资金总量持续上移。Q2高收益项目使较大账户跨过更多获配档位仍有价值；Q3高收益更多集中在申购上限较低的项目，资金加至更大规模后，对这些项目的获配已不再增加，而新增资金在其他项目上的收益较弱。以1000万元账户为例，不计同额抢时余股的平均单次毛收益由Q2约6049元降至Q3约3697元。</w:t>
      </w:r>
    </w:p>
    <w:p w14:paraId="1D57A79C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Q3的最优点也有口径敏感性。约1421万元处的毛收益效率为3.74 bp，距约961万元处的3.85 bp仅低2.7%；按实际冻结天数、假设年化2%资金机会成本扣除后，不计同额抢时余股时最优点转至约1421万元，计入时仍约961万元。剔除三只外部事件样本，毛收益最优点仍约961万元。因此，Q3较Q2收敛的方向较稳定，具体金额需结合成本和余股获配条件理解。</w:t>
      </w:r>
    </w:p>
    <w:p w14:paraId="46C5C9A3" w14:textId="77777777" w:rsidR="00044EAC" w:rsidRDefault="00000000">
      <w:pPr>
        <w:spacing w:after="8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测算逐项目独立进行，以100万至5000万元扫描并加入获配门槛点；申购股数向下取100股整数倍。正股按公告网上发行量与有效申购量计算，余股仅采用与对应正股档位相容的手工标签。机会成本只计实际申购额及冻结天数。未扣交易费用，未模拟申购重叠、资金回流及全年闲置，故表中收益不是可直接实现的季度组合收益，最优金额为样本内复盘结果。</w:t>
      </w:r>
    </w:p>
    <w:p w14:paraId="2CD5545F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129868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分户表显示大额账户和资金能力上移</w:t>
      </w:r>
    </w:p>
    <w:p w14:paraId="576D83BB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“户均申购金额”是每只股票冻资除以有效申购户数，再对各股票的结果取中位值。它既不是账户金额分布的中位数，也不能回答上端账户是否变多、其金额是否变大。分户表及账户池快照为这个问题提供了补充证据。</w:t>
      </w:r>
    </w:p>
    <w:p w14:paraId="1F636E62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3 </w:t>
      </w:r>
      <w:r>
        <w:rPr>
          <w:lang w:eastAsia="zh-CN"/>
        </w:rPr>
        <w:t>大户资金结构的模型推断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389"/>
        <w:gridCol w:w="1389"/>
        <w:gridCol w:w="1389"/>
        <w:gridCol w:w="1672"/>
      </w:tblGrid>
      <w:tr w:rsidR="00044EAC" w14:paraId="30D47049" w14:textId="77777777">
        <w:trPr>
          <w:cantSplit/>
          <w:tblHeader/>
          <w:jc w:val="center"/>
        </w:trPr>
        <w:tc>
          <w:tcPr>
            <w:tcW w:w="3572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E6A1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指标中位值</w:t>
            </w:r>
          </w:p>
        </w:tc>
        <w:tc>
          <w:tcPr>
            <w:tcW w:w="138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8A89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38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826C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38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3B70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Q3</w:t>
            </w:r>
          </w:p>
        </w:tc>
        <w:tc>
          <w:tcPr>
            <w:tcW w:w="1672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10CC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Q3较Q2</w:t>
            </w:r>
          </w:p>
        </w:tc>
      </w:tr>
      <w:tr w:rsidR="00044EAC" w14:paraId="5378CA43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45E42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500万元以上账户数 万户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FD9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7.83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D6E1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7.91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46035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9.42</w:t>
            </w:r>
          </w:p>
        </w:tc>
        <w:tc>
          <w:tcPr>
            <w:tcW w:w="16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BBC7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19.1%</w:t>
            </w:r>
          </w:p>
        </w:tc>
      </w:tr>
      <w:tr w:rsidR="00044EAC" w14:paraId="6157B8AC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4414F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1000万元以上账户数 万户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4CC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2.65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0BA1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4.45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02D5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6.05</w:t>
            </w:r>
          </w:p>
        </w:tc>
        <w:tc>
          <w:tcPr>
            <w:tcW w:w="16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76D4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35.9%</w:t>
            </w:r>
          </w:p>
        </w:tc>
      </w:tr>
      <w:tr w:rsidR="00044EAC" w14:paraId="7ABBDF5B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478C5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1500万元以上账户数 万户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A190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2.29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FC86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2.79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74E6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3.48</w:t>
            </w:r>
          </w:p>
        </w:tc>
        <w:tc>
          <w:tcPr>
            <w:tcW w:w="16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8FBA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24.7%</w:t>
            </w:r>
          </w:p>
        </w:tc>
      </w:tr>
      <w:tr w:rsidR="00044EAC" w14:paraId="7E183846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49927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大户资金能力指数 Q2等于100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420A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89.4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52B9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100.0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6FF6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123.6</w:t>
            </w:r>
          </w:p>
        </w:tc>
        <w:tc>
          <w:tcPr>
            <w:tcW w:w="16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1C6E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23.6%</w:t>
            </w:r>
          </w:p>
        </w:tc>
      </w:tr>
      <w:tr w:rsidR="00044EAC" w14:paraId="338AD9B4" w14:textId="77777777">
        <w:trPr>
          <w:cantSplit/>
          <w:jc w:val="center"/>
        </w:trPr>
        <w:tc>
          <w:tcPr>
            <w:tcW w:w="35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3C3A7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500万元以上账户封顶户均 万元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598A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995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D7D3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1,081</w:t>
            </w:r>
          </w:p>
        </w:tc>
        <w:tc>
          <w:tcPr>
            <w:tcW w:w="138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847F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1,163</w:t>
            </w:r>
          </w:p>
        </w:tc>
        <w:tc>
          <w:tcPr>
            <w:tcW w:w="167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EC5E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7.6%</w:t>
            </w:r>
          </w:p>
        </w:tc>
      </w:tr>
    </w:tbl>
    <w:p w14:paraId="70CE9D5D" w14:textId="77777777" w:rsidR="00044EAC" w:rsidRDefault="00044EAC">
      <w:pPr>
        <w:spacing w:after="0"/>
        <w:rPr>
          <w:rFonts w:hint="eastAsia"/>
        </w:rPr>
      </w:pPr>
    </w:p>
    <w:p w14:paraId="4177E3DC" w14:textId="77777777" w:rsidR="00044EAC" w:rsidRDefault="00000000">
      <w:pPr>
        <w:spacing w:after="100"/>
        <w:rPr>
          <w:rFonts w:hint="eastAsia"/>
        </w:rPr>
      </w:pPr>
      <w:r>
        <w:rPr>
          <w:color w:val="535D69"/>
          <w:sz w:val="17"/>
          <w:lang w:eastAsia="zh-CN"/>
        </w:rPr>
        <w:t>固定500万元作为“大户”分析门槛，1500万元是资金能力指标统一使用的比较上限。该上限不代表各股票实际申购上限。Q1的500万元、1000万元、1500万元人数覆盖10、15、12个快照；资金指数和封顶户均覆盖10个。</w:t>
      </w:r>
      <w:r>
        <w:rPr>
          <w:color w:val="535D69"/>
          <w:sz w:val="17"/>
        </w:rPr>
        <w:t>Q2、Q3对应指标分别覆盖20、26个。</w:t>
      </w:r>
    </w:p>
    <w:p w14:paraId="2F6D3821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155832E6" wp14:editId="73A54F7C">
            <wp:extent cx="5970905" cy="2379345"/>
            <wp:effectExtent l="0" t="0" r="10795" b="1905"/>
            <wp:docPr id="2" name="Picture 2" descr="图2 大额账户数量与统一上限下的资金能力  由各项目申购后的历史快照推断" title="图2 大额账户数量与统一上限下的资金能力  由各项目申购后的历史快照推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2 大额账户数量与统一上限下的资金能力  由各项目申购后的历史快照推断" title="图2 大额账户数量与统一上限下的资金能力  由各项目申购后的历史快照推断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3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0F3A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图3 大额账户数量与统一上限下的资金能力  由各项目申购后的历史快照推断</w:t>
      </w:r>
    </w:p>
    <w:p w14:paraId="38C7D141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Q3较Q2，500万元以上账户数中位值增长19.1%，1000万元以上增长35.9%，1500万元以上增长24.7%。同一500万元门槛及1500万元比较上限下，模型隐含资金能力增长23.6%，该组封顶户均金额增长7.6%。这支持更完整的结论：参与面扩大，同时大额账户数量和资金分布上端的投入能力也增强；总体户均金额小幅下降不能否定这种变化。</w:t>
      </w:r>
    </w:p>
    <w:p w14:paraId="64B37265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九月末</w:t>
      </w:r>
      <w:r>
        <w:rPr>
          <w:rFonts w:hint="eastAsia"/>
          <w:lang w:eastAsia="zh-CN"/>
        </w:rPr>
        <w:t>存在大户资金回落</w:t>
      </w:r>
      <w:r>
        <w:rPr>
          <w:lang w:eastAsia="zh-CN"/>
        </w:rPr>
        <w:t>。按申购日期取季度末最后一个快照，Q2末与Q3末的大户资金能力约为9804亿元和9755亿元，接近持平；500万元以上账户数约由9.40万户降至8.47万户。</w:t>
      </w:r>
      <w:r>
        <w:rPr>
          <w:rFonts w:hint="eastAsia"/>
          <w:lang w:eastAsia="zh-CN"/>
        </w:rPr>
        <w:t>该现象或由8-9月新股上市首日收益大幅下降导致，后续值得继续观察</w:t>
      </w:r>
      <w:r>
        <w:rPr>
          <w:lang w:eastAsia="zh-CN"/>
        </w:rPr>
        <w:t>。</w:t>
      </w:r>
    </w:p>
    <w:p w14:paraId="533866FB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这些数值是公告总量约束和历史曲线插值的结果，不是逐户实测资金。模型不能识别同一账户是否加仓，也不能把“大户资金能力”当作当次实际冻资组成；具体算法及局限见末页。</w:t>
      </w:r>
    </w:p>
    <w:p w14:paraId="35D3804E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DEDF101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</w:t>
      </w:r>
      <w:r>
        <w:rPr>
          <w:lang w:eastAsia="zh-CN"/>
        </w:rPr>
        <w:t xml:space="preserve"> </w:t>
      </w:r>
      <w:r>
        <w:rPr>
          <w:lang w:eastAsia="zh-CN"/>
        </w:rPr>
        <w:t>发行规模分化明显扩大</w:t>
      </w:r>
    </w:p>
    <w:p w14:paraId="7C435D78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Q3的回落具有规模结构。按发行额3亿元分组，11只较小项目的收盘涨幅中位数为331.4%，15只较大项目为87.6%；成交均价涨幅分别为286.2%和94.2%。Q2两组收盘涨幅中位数均约235%，Q3的差距明显扩大。</w:t>
      </w:r>
    </w:p>
    <w:p w14:paraId="3F65C7F2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27E72F26" wp14:editId="6B089C3E">
            <wp:extent cx="5970905" cy="2343785"/>
            <wp:effectExtent l="0" t="0" r="10795" b="18415"/>
            <wp:docPr id="3" name="Picture 3" descr="图3 按发行金额分组的首日涨幅  3亿元为复盘比较切点" title="图3 按发行金额分组的首日涨幅  3亿元为复盘比较切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3 按发行金额分组的首日涨幅  3亿元为复盘比较切点" title="图3 按发行金额分组的首日涨幅  3亿元为复盘比较切点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3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526D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图4 按发行金额分组的首日涨幅  3亿元为复盘比较切点</w:t>
      </w:r>
    </w:p>
    <w:p w14:paraId="26CAEC53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4 Q3</w:t>
      </w:r>
      <w:r>
        <w:rPr>
          <w:lang w:eastAsia="zh-CN"/>
        </w:rPr>
        <w:t>较大发行项目的申购与上市表现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531"/>
        <w:gridCol w:w="1814"/>
        <w:gridCol w:w="1757"/>
        <w:gridCol w:w="2154"/>
      </w:tblGrid>
      <w:tr w:rsidR="00044EAC" w14:paraId="14510928" w14:textId="77777777">
        <w:trPr>
          <w:cantSplit/>
          <w:tblHeader/>
          <w:jc w:val="center"/>
        </w:trPr>
        <w:tc>
          <w:tcPr>
            <w:tcW w:w="215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905F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股票</w:t>
            </w:r>
          </w:p>
        </w:tc>
        <w:tc>
          <w:tcPr>
            <w:tcW w:w="1531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7B2F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发行额</w:t>
            </w:r>
            <w:r>
              <w:rPr>
                <w:b/>
                <w:sz w:val="18"/>
              </w:rPr>
              <w:br/>
              <w:t>亿元</w:t>
            </w:r>
          </w:p>
        </w:tc>
        <w:tc>
          <w:tcPr>
            <w:tcW w:w="181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8C74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冻资</w:t>
            </w:r>
            <w:r>
              <w:rPr>
                <w:b/>
                <w:sz w:val="18"/>
              </w:rPr>
              <w:br/>
              <w:t>亿元</w:t>
            </w:r>
          </w:p>
        </w:tc>
        <w:tc>
          <w:tcPr>
            <w:tcW w:w="175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2C98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收盘涨幅</w:t>
            </w:r>
            <w:r>
              <w:rPr>
                <w:b/>
                <w:sz w:val="18"/>
              </w:rPr>
              <w:br/>
              <w:t>%</w:t>
            </w:r>
          </w:p>
        </w:tc>
        <w:tc>
          <w:tcPr>
            <w:tcW w:w="215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B651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成交均价涨幅</w:t>
            </w:r>
            <w:r>
              <w:rPr>
                <w:b/>
                <w:sz w:val="18"/>
              </w:rPr>
              <w:br/>
              <w:t>%</w:t>
            </w:r>
          </w:p>
        </w:tc>
      </w:tr>
      <w:tr w:rsidR="00044EAC" w14:paraId="3D86AB10" w14:textId="77777777">
        <w:trPr>
          <w:cantSplit/>
          <w:jc w:val="center"/>
        </w:trPr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8FE0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欧伦电气</w:t>
            </w:r>
          </w:p>
        </w:tc>
        <w:tc>
          <w:tcPr>
            <w:tcW w:w="15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0D3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7.35</w:t>
            </w:r>
          </w:p>
        </w:tc>
        <w:tc>
          <w:tcPr>
            <w:tcW w:w="181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3D92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12,096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F11B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21.5</w:t>
            </w:r>
          </w:p>
        </w:tc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6DA0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33.4</w:t>
            </w:r>
          </w:p>
        </w:tc>
      </w:tr>
      <w:tr w:rsidR="00044EAC" w14:paraId="4788E109" w14:textId="77777777">
        <w:trPr>
          <w:cantSplit/>
          <w:jc w:val="center"/>
        </w:trPr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D55F5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乔路铭</w:t>
            </w:r>
          </w:p>
        </w:tc>
        <w:tc>
          <w:tcPr>
            <w:tcW w:w="15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78D5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7.18</w:t>
            </w:r>
          </w:p>
        </w:tc>
        <w:tc>
          <w:tcPr>
            <w:tcW w:w="181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B62DD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13,173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08F51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31.0</w:t>
            </w:r>
          </w:p>
        </w:tc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F1A1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26.6</w:t>
            </w:r>
          </w:p>
        </w:tc>
      </w:tr>
      <w:tr w:rsidR="00044EAC" w14:paraId="7B6142F3" w14:textId="77777777">
        <w:trPr>
          <w:cantSplit/>
          <w:jc w:val="center"/>
        </w:trPr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DF9B2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森合高科</w:t>
            </w:r>
          </w:p>
        </w:tc>
        <w:tc>
          <w:tcPr>
            <w:tcW w:w="15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D1234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5.55</w:t>
            </w:r>
          </w:p>
        </w:tc>
        <w:tc>
          <w:tcPr>
            <w:tcW w:w="181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43B0D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12,145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4E61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66.2</w:t>
            </w:r>
          </w:p>
        </w:tc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5C48C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71.8</w:t>
            </w:r>
          </w:p>
        </w:tc>
      </w:tr>
      <w:tr w:rsidR="00044EAC" w14:paraId="5E9CE130" w14:textId="77777777">
        <w:trPr>
          <w:cantSplit/>
          <w:jc w:val="center"/>
        </w:trPr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24EE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杰理科技</w:t>
            </w:r>
          </w:p>
        </w:tc>
        <w:tc>
          <w:tcPr>
            <w:tcW w:w="15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9B9A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6.22</w:t>
            </w:r>
          </w:p>
        </w:tc>
        <w:tc>
          <w:tcPr>
            <w:tcW w:w="181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4FFC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14,063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6797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182.4</w:t>
            </w:r>
          </w:p>
        </w:tc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FDA0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191.9</w:t>
            </w:r>
          </w:p>
        </w:tc>
      </w:tr>
      <w:tr w:rsidR="00044EAC" w14:paraId="0106A7EA" w14:textId="77777777">
        <w:trPr>
          <w:cantSplit/>
          <w:jc w:val="center"/>
        </w:trPr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7DEA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信胜科技</w:t>
            </w:r>
          </w:p>
        </w:tc>
        <w:tc>
          <w:tcPr>
            <w:tcW w:w="15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696C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5.17</w:t>
            </w:r>
          </w:p>
        </w:tc>
        <w:tc>
          <w:tcPr>
            <w:tcW w:w="181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3E4E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13,538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2499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61.6</w:t>
            </w:r>
          </w:p>
        </w:tc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EECF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89.6</w:t>
            </w:r>
          </w:p>
        </w:tc>
      </w:tr>
      <w:tr w:rsidR="00044EAC" w14:paraId="63C256EA" w14:textId="77777777">
        <w:trPr>
          <w:cantSplit/>
          <w:jc w:val="center"/>
        </w:trPr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4752D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腾信精密</w:t>
            </w:r>
          </w:p>
        </w:tc>
        <w:tc>
          <w:tcPr>
            <w:tcW w:w="153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02FE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6.44</w:t>
            </w:r>
          </w:p>
        </w:tc>
        <w:tc>
          <w:tcPr>
            <w:tcW w:w="181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A1C7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14,003</w:t>
            </w:r>
          </w:p>
        </w:tc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2C48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79.7</w:t>
            </w:r>
          </w:p>
        </w:tc>
        <w:tc>
          <w:tcPr>
            <w:tcW w:w="215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9DA2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62.3</w:t>
            </w:r>
          </w:p>
        </w:tc>
      </w:tr>
    </w:tbl>
    <w:p w14:paraId="318D45EC" w14:textId="77777777" w:rsidR="00044EAC" w:rsidRDefault="00044EAC">
      <w:pPr>
        <w:spacing w:after="0"/>
        <w:rPr>
          <w:rFonts w:hint="eastAsia"/>
        </w:rPr>
      </w:pPr>
    </w:p>
    <w:p w14:paraId="13C02C54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六只发行额不低于5亿元的项目，收盘涨幅中位数仅63.9%，冻资中位数却达到13356亿元。欧伦电气和乔路铭均是发行规模较大的项目，首日收盘涨幅分别只有21.5%和31.0%。这一组合说明，申购资金多不能直接外推上市后承接强。冻资首先反映获配竞争，上市价格还取决于流通筹码、卖出供给和二级市场买盘。</w:t>
      </w:r>
    </w:p>
    <w:p w14:paraId="4E7151D4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规模也不是完整解释。较大项目中的杰理科技仍取得182.4%的收盘涨幅和191.9%的成交均价涨幅；小项目百迈科首日收盘仅上涨57.2%。同一规模区间内还有行业、发行估值和情绪状态的差异。将比较切点改为2.5亿元或4亿元，Q3小项目中位涨幅更高的方向仍成立，但这些切点不构成交易阈值。</w:t>
      </w:r>
    </w:p>
    <w:p w14:paraId="6C5D1E82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3亿元以下组Q1/Q2/Q3分别为9/10/11只，以上组分别为7/10/15只。小项目组包含维琪科技、世纪数码等事件观察样本，不能把全部组间差异归因于发行规模。老股初始流通量也可能改变实际供给，应与发行额分别观察。</w:t>
      </w:r>
    </w:p>
    <w:p w14:paraId="4B686207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E8589AB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行业表现并未同步回落</w:t>
      </w:r>
    </w:p>
    <w:p w14:paraId="63FF713C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高端装备是Q3典型涨幅回落较明显的行业。该组首日成交均价涨幅中位数从Q2的239.3%降至Q3的111.2%，收盘涨幅从307.7%降至105.0%；样本数分别为10只和12只。化工新材的成交均价涨幅中位数也由262.5%降至177.6%。这两个行业内部的下降，说明市场变化不只是行业权重发生替换。</w:t>
      </w:r>
    </w:p>
    <w:p w14:paraId="59A7FE69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445EF5C0" wp14:editId="0A06B114">
            <wp:extent cx="5970905" cy="2343785"/>
            <wp:effectExtent l="0" t="0" r="0" b="0"/>
            <wp:docPr id="4" name="Picture 4" descr="图4 本地一级行业的首日成交均价涨幅  柱顶为中位数和样本数  无样本处留空" title="图4 本地一级行业的首日成交均价涨幅  柱顶为中位数和样本数  无样本处留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4 本地一级行业的首日成交均价涨幅  柱顶为中位数和样本数  无样本处留空" title="图4 本地一级行业的首日成交均价涨幅  柱顶为中位数和样本数  无样本处留空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3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E667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图5 本地一级行业的首日成交均价涨幅  柱顶为中位数和样本数  无样本处留空</w:t>
      </w:r>
    </w:p>
    <w:p w14:paraId="21AEB23F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5 </w:t>
      </w:r>
      <w:r>
        <w:rPr>
          <w:lang w:eastAsia="zh-CN"/>
        </w:rPr>
        <w:t>主要二级行业的成交均价涨幅比较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81"/>
        <w:gridCol w:w="2381"/>
      </w:tblGrid>
      <w:tr w:rsidR="00044EAC" w14:paraId="4DDA5911" w14:textId="77777777">
        <w:trPr>
          <w:cantSplit/>
          <w:tblHeader/>
          <w:jc w:val="center"/>
        </w:trPr>
        <w:tc>
          <w:tcPr>
            <w:tcW w:w="232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8D08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二级行业</w:t>
            </w:r>
          </w:p>
        </w:tc>
        <w:tc>
          <w:tcPr>
            <w:tcW w:w="232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F3B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2381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63BB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2381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E017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Q3</w:t>
            </w:r>
          </w:p>
        </w:tc>
      </w:tr>
      <w:tr w:rsidR="00044EAC" w14:paraId="71F3DA0D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97B52C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机械设备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E243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186.9%  n=1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0138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153.6%  n=7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A92F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111.2%  n=6</w:t>
            </w:r>
          </w:p>
        </w:tc>
      </w:tr>
      <w:tr w:rsidR="00044EAC" w14:paraId="27EB1426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11A6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汽车零部件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E8C0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68.1%  n=4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FB61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520.2%  n=1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AB69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85.6%  n=5</w:t>
            </w:r>
          </w:p>
        </w:tc>
      </w:tr>
      <w:tr w:rsidR="00044EAC" w14:paraId="08B04042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0BB1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半导体制造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7220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无样本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2106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167.3%  n=4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B65E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328.2%  n=2</w:t>
            </w:r>
          </w:p>
        </w:tc>
      </w:tr>
      <w:tr w:rsidR="00044EAC" w14:paraId="4633E193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DDD72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化学制品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5447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105.6%  n=1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0725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197.4%  n=1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FE0E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286.2%  n=3</w:t>
            </w:r>
          </w:p>
        </w:tc>
      </w:tr>
      <w:tr w:rsidR="00044EAC" w14:paraId="62004838" w14:textId="77777777">
        <w:trPr>
          <w:cantSplit/>
          <w:jc w:val="center"/>
        </w:trPr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18E35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医疗器械</w:t>
            </w:r>
          </w:p>
        </w:tc>
        <w:tc>
          <w:tcPr>
            <w:tcW w:w="232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95DD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172.6%  n=4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30CF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218.7%  n=1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4B77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228.9%  n=2</w:t>
            </w:r>
          </w:p>
        </w:tc>
      </w:tr>
    </w:tbl>
    <w:p w14:paraId="3FDF7851" w14:textId="77777777" w:rsidR="00044EAC" w:rsidRDefault="00044EAC">
      <w:pPr>
        <w:spacing w:after="0"/>
        <w:rPr>
          <w:rFonts w:hint="eastAsia"/>
        </w:rPr>
      </w:pPr>
    </w:p>
    <w:p w14:paraId="7B178B72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高端装备内部也有样本构成差异。机械设备的成交均价涨幅中位数从153.6%降至111.2%，降幅小于一级行业；Q2的电气设备和个别高涨幅项目也抬高了一级行业中枢。Q3汽车零部件有5只，成交均价涨幅中位数85.6%；Q2该行业仅朗信电气1只，不能把两者的巨大差额直接理解为整个汽配板块退潮幅度。</w:t>
      </w:r>
    </w:p>
    <w:p w14:paraId="514D9451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信息技术样本保持相对强势，Q3康美特和杰理科技的成交均价涨幅分别为464.6%和191.9%，两只合计的中位数为328.2%，高于Q2四只半导体样本的167.3%。化学制品中吉和昌和聚仁新材也较强。行业热度具有选择性，但这些小样本只支持个股层面的相对表现，不足以断言行业普遍获得溢价。医药生物应进一步区分医疗器械与生物制品，并单列维琪科技的外部事件。</w:t>
      </w:r>
    </w:p>
    <w:p w14:paraId="283FC3AA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行业采用本地replay_dataset的一级、二级研究分类，未按名称或热点临时改类。例如双英集团仍归汽车零部件，其与宇树同日上市不等同于直接机器人产业链关系。</w:t>
      </w:r>
    </w:p>
    <w:p w14:paraId="31421B3D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1BBBC4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</w:t>
      </w:r>
      <w:r>
        <w:rPr>
          <w:lang w:eastAsia="zh-CN"/>
        </w:rPr>
        <w:t xml:space="preserve"> </w:t>
      </w:r>
      <w:r>
        <w:rPr>
          <w:lang w:eastAsia="zh-CN"/>
        </w:rPr>
        <w:t>炒新潮汐与次日亏钱反馈</w:t>
      </w:r>
    </w:p>
    <w:p w14:paraId="52FF286A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季度均值会把连续上市项目之间的赚钱效应和亏钱效应压平。Q2四月首日收盘涨幅中位数仅107.3%，五月升至373.7%，六月回到235.1%。五月锐翔智能、嘉晨智能、朗信电气等连续大涨，形成持续可见的炒新赚钱效应；即使部分股票次日回落，新股热度仍能延续。</w:t>
      </w:r>
    </w:p>
    <w:p w14:paraId="21BE5F06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DC3F613" wp14:editId="21C41E61">
            <wp:extent cx="5970905" cy="3025775"/>
            <wp:effectExtent l="0" t="0" r="0" b="0"/>
            <wp:docPr id="5" name="Picture 5" descr="图5 Q3新股首日表现与次日开盘  次日涨跌以该股首日收盘为基准  百瑞吉次日数据缺失" title="图5 Q3新股首日表现与次日开盘  次日涨跌以该股首日收盘为基准  百瑞吉次日数据缺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5 Q3新股首日表现与次日开盘  次日涨跌以该股首日收盘为基准  百瑞吉次日数据缺失" title="图5 Q3新股首日表现与次日开盘  次日涨跌以该股首日收盘为基准  百瑞吉次日数据缺失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30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2DF7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 xml:space="preserve">图6 Q3新股首日表现与次日开盘  次日涨跌以该股首日收盘为基准</w:t>
      </w:r>
    </w:p>
    <w:p w14:paraId="62002CD4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Q3七月初，吉和昌收盘上涨616.5%，次日再涨30.0%；康美特随后上涨400.6%。此后永励精密、欧伦电气、龙鑫智能、乔路铭的首日涨幅分别回落至76.3%、21.5%、98.2%、31.0%，同时出现连续次日低开或收盘亏损。这个序列符合热度先扩散、随后因损失反馈减弱的观察框架，不过这些后续项目规模也较大，不能把变化全部归于情绪。</w:t>
      </w:r>
    </w:p>
    <w:p w14:paraId="3BC4A186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七月维琪科技的事件行情和八月双英集团的事件窗口，都未形成普遍持续走高的后续序列。九月则出现重新激活：沈鼓集团次新炒作之后，世纪数码、凯达重工、百瑞吉、安达股份的首日收盘涨幅依次为742.4%、580.8%、331.4%、246.5%。世纪数码与凯达重工次日均低开约30%，后续首日热度逐步下降。</w:t>
      </w:r>
    </w:p>
    <w:p w14:paraId="017569B9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亏钱反馈存在时滞。世纪数码次日大幅低开时，凯达重工首日仍然暴涨，说明负反馈不会立刻终止下一只新股的炒作。更有解释力的观察是：极端上涨激活预期，热度跨项目延续，连续低开提高追涨损失，后续买盘再收缩。Q3月度首日中位数为138.8%、124.6%、149.3%，九月并非全月单调退潮；重启后的局部脉冲与季度典型溢价回落同时存在。</w:t>
      </w:r>
    </w:p>
    <w:p w14:paraId="1065A218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图中的滚动线仅作事后节奏描述；不同股票的次日数据发生在不同日历日期，不是同期资金流指标。日期相邻与表现相似支持潮汐解释，但不足以识别独立因果效应。</w:t>
      </w:r>
    </w:p>
    <w:p w14:paraId="26083BED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EFC3D6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</w:t>
      </w:r>
      <w:r>
        <w:rPr>
          <w:lang w:eastAsia="zh-CN"/>
        </w:rPr>
        <w:t xml:space="preserve"> </w:t>
      </w:r>
      <w:r>
        <w:rPr>
          <w:lang w:eastAsia="zh-CN"/>
        </w:rPr>
        <w:t>三只外部事件样本单独观察</w:t>
      </w:r>
    </w:p>
    <w:p w14:paraId="1D38A493" w14:textId="77777777" w:rsidR="00044EAC" w:rsidRDefault="00000000">
      <w:pPr>
        <w:rPr>
          <w:rFonts w:hint="eastAsia"/>
        </w:rPr>
      </w:pPr>
      <w:r>
        <w:rPr>
          <w:lang w:eastAsia="zh-CN"/>
        </w:rPr>
        <w:t>外部新股事件可能通过注意力和短线交易需求向北交所溢出。日期事实可以核验，具体资金转移和影响幅度仍需区分。维琪科技与长鑫科技同于7月27日上市，双英集团与宇树科技同于8月19日上市，上交所披露已确认两只科创板股票的上市日期。[1][2] 世纪数码于9月22日上市，是本地样本中沈鼓集团9月18日大涨后首只上市的北交所新股。</w:t>
      </w:r>
      <w:r>
        <w:t>[3]</w:t>
      </w:r>
    </w:p>
    <w:p w14:paraId="210E6399" w14:textId="77777777" w:rsidR="00044EAC" w:rsidRDefault="00000000">
      <w:pPr>
        <w:pStyle w:val="21"/>
      </w:pPr>
      <w:r>
        <w:t>表</w:t>
      </w:r>
      <w:r>
        <w:t xml:space="preserve">6 </w:t>
      </w:r>
      <w:r>
        <w:t>三只事件观察样本的定价与承接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474"/>
        <w:gridCol w:w="1474"/>
        <w:gridCol w:w="1474"/>
        <w:gridCol w:w="1474"/>
      </w:tblGrid>
      <w:tr w:rsidR="00044EAC" w14:paraId="4311EE6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0FABA7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股票与上市日</w:t>
            </w:r>
          </w:p>
        </w:tc>
        <w:tc>
          <w:tcPr>
            <w:tcW w:w="124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8F74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发行额</w:t>
            </w:r>
            <w:r>
              <w:rPr>
                <w:b/>
                <w:sz w:val="18"/>
              </w:rPr>
              <w:br/>
              <w:t>亿元</w:t>
            </w:r>
          </w:p>
        </w:tc>
        <w:tc>
          <w:tcPr>
            <w:tcW w:w="147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42E0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收盘涨幅</w:t>
            </w:r>
            <w:r>
              <w:rPr>
                <w:b/>
                <w:sz w:val="18"/>
              </w:rPr>
              <w:br/>
              <w:t>%</w:t>
            </w:r>
          </w:p>
        </w:tc>
        <w:tc>
          <w:tcPr>
            <w:tcW w:w="147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668F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均价涨幅</w:t>
            </w:r>
            <w:r>
              <w:rPr>
                <w:b/>
                <w:sz w:val="18"/>
              </w:rPr>
              <w:br/>
              <w:t>%</w:t>
            </w:r>
          </w:p>
        </w:tc>
        <w:tc>
          <w:tcPr>
            <w:tcW w:w="147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C645F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次日开盘</w:t>
            </w:r>
            <w:r>
              <w:rPr>
                <w:b/>
                <w:sz w:val="18"/>
              </w:rPr>
              <w:br/>
              <w:t>%</w:t>
            </w:r>
          </w:p>
        </w:tc>
        <w:tc>
          <w:tcPr>
            <w:tcW w:w="147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EED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次日收盘</w:t>
            </w:r>
            <w:r>
              <w:rPr>
                <w:b/>
                <w:sz w:val="18"/>
              </w:rPr>
              <w:br/>
              <w:t>%</w:t>
            </w:r>
          </w:p>
        </w:tc>
      </w:tr>
      <w:tr w:rsidR="00044EAC" w14:paraId="7B1E5312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449BA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维琪科技</w:t>
            </w:r>
            <w:r>
              <w:rPr>
                <w:sz w:val="18"/>
              </w:rPr>
              <w:br/>
              <w:t>07-27</w:t>
            </w:r>
          </w:p>
        </w:tc>
        <w:tc>
          <w:tcPr>
            <w:tcW w:w="12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D29A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1.96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3D7A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599.5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47E9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144.8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9B37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-30.0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87784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-30.0</w:t>
            </w:r>
          </w:p>
        </w:tc>
      </w:tr>
      <w:tr w:rsidR="00044EAC" w14:paraId="7E175C73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CF7A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双英集团</w:t>
            </w:r>
            <w:r>
              <w:rPr>
                <w:sz w:val="18"/>
              </w:rPr>
              <w:br/>
              <w:t>08-19</w:t>
            </w:r>
          </w:p>
        </w:tc>
        <w:tc>
          <w:tcPr>
            <w:tcW w:w="12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5519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4.23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6DDC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122.4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6D45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133.8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BE3A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-27.3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9F27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-30.0</w:t>
            </w:r>
          </w:p>
        </w:tc>
      </w:tr>
      <w:tr w:rsidR="00044EAC" w14:paraId="78F915FF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2A1D5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世纪数码</w:t>
            </w:r>
            <w:r>
              <w:rPr>
                <w:sz w:val="18"/>
              </w:rPr>
              <w:br/>
              <w:t>09-22</w:t>
            </w:r>
          </w:p>
        </w:tc>
        <w:tc>
          <w:tcPr>
            <w:tcW w:w="124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648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1.72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8B4C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742.4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C54C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338.7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CC39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-30.0</w:t>
            </w:r>
          </w:p>
        </w:tc>
        <w:tc>
          <w:tcPr>
            <w:tcW w:w="147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7356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-30.0</w:t>
            </w:r>
          </w:p>
        </w:tc>
      </w:tr>
    </w:tbl>
    <w:p w14:paraId="06CDC676" w14:textId="77777777" w:rsidR="00044EAC" w:rsidRDefault="00044EAC">
      <w:pPr>
        <w:spacing w:after="0"/>
        <w:rPr>
          <w:rFonts w:hint="eastAsia"/>
        </w:rPr>
      </w:pPr>
    </w:p>
    <w:p w14:paraId="1F4342DC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7BCE4328" wp14:editId="32F34028">
            <wp:extent cx="5970905" cy="2235835"/>
            <wp:effectExtent l="0" t="0" r="0" b="0"/>
            <wp:docPr id="6" name="Picture 6" descr="图6 事件样本的收盘与成交均价差异  及次日开盘的回撤" title="图6 事件样本的收盘与成交均价差异  及次日开盘的回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6 事件样本的收盘与成交均价差异  及次日开盘的回撤" title="图6 事件样本的收盘与成交均价差异  及次日开盘的回撤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2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A8EB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图7 事件样本的收盘与成交均价差异  及次日开盘的回撤</w:t>
      </w:r>
    </w:p>
    <w:p w14:paraId="342525A6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维琪科技的收盘涨幅达599.5%，全天成交均价涨幅却仅144.8%；发行价22.16元，首日成交均价54.25元，收盘155.01元，次日开盘108.51元。其高收盘价与大部分成交价格之间存在显著距离，次日相对收盘低开30.0%。</w:t>
      </w:r>
    </w:p>
    <w:p w14:paraId="102228E6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双英集团确为与宇树科技同日上市的股票。其首日收盘涨幅122.4%，接近Q3中位数132.7%，并非季内涨幅极值；成交均价涨幅133.8%，次日低开27.3%，收盘再较首日下跌30.0%。</w:t>
      </w:r>
    </w:p>
    <w:p w14:paraId="0987BFFF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世纪数码首日收盘涨幅742.4%，成交均价涨幅338.7%，次日开盘与收盘均为92.40元，相对首日132元下跌30.0%。沈鼓集团公告确认其9月17日首日上涨373.8%，9月18日再涨177.7%，已显著偏离同业估值。[3] 随后北交所小发行项目连续走强，符合跨市场炒新热度溢出的复盘解释。</w:t>
      </w:r>
    </w:p>
    <w:p w14:paraId="37DD5535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1A953D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</w:t>
      </w:r>
      <w:r>
        <w:rPr>
          <w:lang w:eastAsia="zh-CN"/>
        </w:rPr>
        <w:t xml:space="preserve"> </w:t>
      </w:r>
      <w:r>
        <w:rPr>
          <w:lang w:eastAsia="zh-CN"/>
        </w:rPr>
        <w:t>尾部暴涨与典型收益回落同时发生</w:t>
      </w:r>
    </w:p>
    <w:p w14:paraId="33DC2DD6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Q3有4只股票首日收盘涨幅超过500%，多于Q2的2只，但Q3整体中位数更低。这是分布上端仍然活跃、典型项目走弱的组合。剔除三只外部事件观察样本后，Q3收盘涨幅均值由213.4%降至177.6%，中位数由132.7%降至126.8%；成交均价涨幅中位数由139.3%降至117.1%。季度回落的结论仍成立，也说明个别事件抬高了对普遍行情的印象。</w:t>
      </w:r>
    </w:p>
    <w:p w14:paraId="20D73B11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7 </w:t>
      </w:r>
      <w:r>
        <w:rPr>
          <w:lang w:eastAsia="zh-CN"/>
        </w:rPr>
        <w:t>中签收益与上市后追涨体验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59"/>
        <w:gridCol w:w="1417"/>
        <w:gridCol w:w="1417"/>
        <w:gridCol w:w="1417"/>
      </w:tblGrid>
      <w:tr w:rsidR="00044EAC" w14:paraId="3F1E617B" w14:textId="77777777">
        <w:trPr>
          <w:cantSplit/>
          <w:tblHeader/>
          <w:jc w:val="center"/>
        </w:trPr>
        <w:tc>
          <w:tcPr>
            <w:tcW w:w="515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1CA3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141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7DEB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Q1</w:t>
            </w:r>
          </w:p>
        </w:tc>
        <w:tc>
          <w:tcPr>
            <w:tcW w:w="141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930E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Q2</w:t>
            </w:r>
          </w:p>
        </w:tc>
        <w:tc>
          <w:tcPr>
            <w:tcW w:w="1417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6274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8"/>
              </w:rPr>
              <w:t>Q3</w:t>
            </w:r>
          </w:p>
        </w:tc>
      </w:tr>
      <w:tr w:rsidR="00044EAC" w14:paraId="053DAD0C" w14:textId="77777777">
        <w:trPr>
          <w:cantSplit/>
          <w:jc w:val="center"/>
        </w:trPr>
        <w:tc>
          <w:tcPr>
            <w:tcW w:w="51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E817B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每100股按首日均价退出毛收益 中位数 元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9FE5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2,100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EFAF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3,364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F9C5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2,014</w:t>
            </w:r>
          </w:p>
        </w:tc>
      </w:tr>
      <w:tr w:rsidR="00044EAC" w14:paraId="13F6B597" w14:textId="77777777">
        <w:trPr>
          <w:cantSplit/>
          <w:jc w:val="center"/>
        </w:trPr>
        <w:tc>
          <w:tcPr>
            <w:tcW w:w="51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44701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网上资金加权的首日均价涨幅 %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4BA3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150.7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7D8E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266.1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9978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153.9</w:t>
            </w:r>
          </w:p>
        </w:tc>
      </w:tr>
      <w:tr w:rsidR="00044EAC" w14:paraId="063D1611" w14:textId="77777777">
        <w:trPr>
          <w:cantSplit/>
          <w:jc w:val="center"/>
        </w:trPr>
        <w:tc>
          <w:tcPr>
            <w:tcW w:w="51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A12763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首日收盘低于成交均价 只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0F06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BD5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66EF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</w:tr>
      <w:tr w:rsidR="00044EAC" w14:paraId="16E55262" w14:textId="77777777">
        <w:trPr>
          <w:cantSplit/>
          <w:jc w:val="center"/>
        </w:trPr>
        <w:tc>
          <w:tcPr>
            <w:tcW w:w="51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42D17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次日下跌 样本数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2BDE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12 / 16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CD63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13 / 20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38AE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 xml:space="preserve">21 / 26</w:t>
            </w:r>
          </w:p>
        </w:tc>
      </w:tr>
      <w:tr w:rsidR="00044EAC" w14:paraId="7A5208E9" w14:textId="77777777">
        <w:trPr>
          <w:cantSplit/>
          <w:jc w:val="center"/>
        </w:trPr>
        <w:tc>
          <w:tcPr>
            <w:tcW w:w="51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63A7D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次日低开至少20% 样本数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B2C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 / 16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DC01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1 / 20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EB13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 xml:space="preserve">8 / 26</w:t>
            </w:r>
          </w:p>
        </w:tc>
      </w:tr>
      <w:tr w:rsidR="00044EAC" w14:paraId="144CE09A" w14:textId="77777777">
        <w:trPr>
          <w:cantSplit/>
          <w:jc w:val="center"/>
        </w:trPr>
        <w:tc>
          <w:tcPr>
            <w:tcW w:w="515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CC2BD" w14:textId="77777777" w:rsidR="00044EAC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按首日均价买入至次日收盘 收益中位数 %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79C5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-12.1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745FC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>-5.1</w:t>
            </w:r>
          </w:p>
        </w:tc>
        <w:tc>
          <w:tcPr>
            <w:tcW w:w="141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A863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8"/>
              </w:rPr>
              <w:t xml:space="preserve">-22.0</w:t>
            </w:r>
          </w:p>
        </w:tc>
      </w:tr>
    </w:tbl>
    <w:p w14:paraId="645132E2" w14:textId="77777777" w:rsidR="00044EAC" w:rsidRDefault="00044EAC">
      <w:pPr>
        <w:spacing w:after="0"/>
        <w:rPr>
          <w:rFonts w:hint="eastAsia"/>
        </w:rPr>
      </w:pPr>
    </w:p>
    <w:p w14:paraId="1A19F81F" w14:textId="77777777" w:rsidR="00044EAC" w:rsidRDefault="00000000">
      <w:pPr>
        <w:keepNext/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8F1044A" wp14:editId="113E68D9">
            <wp:extent cx="5970905" cy="2235835"/>
            <wp:effectExtent l="0" t="0" r="0" b="0"/>
            <wp:docPr id="7" name="Picture 7" descr="图7 大幅低开更频繁  按首日均价估算的次日收盘收益也走弱" title="图7 大幅低开更频繁  按首日均价估算的次日收盘收益也走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7 大幅低开更频繁  按首日均价估算的次日收盘收益也走弱" title="图7 大幅低开更频繁  按首日均价估算的次日收盘收益也走弱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032" cy="22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85F1" w14:textId="77777777" w:rsidR="00044EAC" w:rsidRDefault="00000000">
      <w:pPr>
        <w:pStyle w:val="a7"/>
        <w:rPr>
          <w:rFonts w:hint="eastAsia"/>
          <w:lang w:eastAsia="zh-CN"/>
        </w:rPr>
      </w:pPr>
      <w:r>
        <w:rPr>
          <w:lang w:eastAsia="zh-CN"/>
        </w:rPr>
        <w:t>图8 大幅低开更频繁  按首日均价估算的次日收盘收益也走弱</w:t>
      </w:r>
    </w:p>
    <w:p w14:paraId="392F4FBC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首日换手率中位数由90.2%升至94.5%，却没有换来更好的次日承接。Q3可用26只样本中，21只次日收盘下跌，8只次日低开至少20%；Q2分别为13只和1只。按首日成交均价买入、次日收盘估值，收益中位数由Q2的负5.1%降至Q3的负22.0%。这是追涨体验弱化的直接价格证据，比只看首日相对发行价的大涨更能解释情绪为什么逐步衰减。</w:t>
      </w:r>
    </w:p>
    <w:p w14:paraId="6712A966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这一收益口径仍是代表性价格比较，而不是逐户实际盈亏。维琪科技和世纪数码次日相对首日收盘均跌30%，但其次日收盘仍高于首日成交均价。两者的早期买入者与高位追涨者经历不同，不能把所有首日成交账户都描述为次日亏损。双英集团次日收盘则比首日均价低33.4%，其承接损失更广。</w:t>
      </w:r>
    </w:p>
    <w:p w14:paraId="51F9A08B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毛收益未扣费用、资金占用成本和实际卖出滑点。成交均价是市场成交的价格统计，既不保证中签者全部按此卖出，也不表示某一投资者可以按此足额成交。</w:t>
      </w:r>
    </w:p>
    <w:p w14:paraId="7090E350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6D66B5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附表</w:t>
      </w:r>
      <w:r>
        <w:rPr>
          <w:lang w:eastAsia="zh-CN"/>
        </w:rPr>
        <w:t xml:space="preserve"> Q3</w:t>
      </w:r>
      <w:r>
        <w:rPr>
          <w:lang w:eastAsia="zh-CN"/>
        </w:rPr>
        <w:t>新股发行与上市表现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62"/>
        <w:gridCol w:w="1134"/>
        <w:gridCol w:w="935"/>
        <w:gridCol w:w="1191"/>
        <w:gridCol w:w="1049"/>
        <w:gridCol w:w="1049"/>
        <w:gridCol w:w="1049"/>
      </w:tblGrid>
      <w:tr w:rsidR="00044EAC" w14:paraId="1FDE626E" w14:textId="77777777">
        <w:trPr>
          <w:cantSplit/>
          <w:tblHeader/>
          <w:jc w:val="center"/>
        </w:trPr>
        <w:tc>
          <w:tcPr>
            <w:tcW w:w="70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09DDE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b/>
                <w:sz w:val="17"/>
              </w:rPr>
              <w:t>上市日</w:t>
            </w:r>
          </w:p>
        </w:tc>
        <w:tc>
          <w:tcPr>
            <w:tcW w:w="1162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3EBC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股票</w:t>
            </w:r>
          </w:p>
        </w:tc>
        <w:tc>
          <w:tcPr>
            <w:tcW w:w="1134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9CB7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一级行业</w:t>
            </w:r>
          </w:p>
        </w:tc>
        <w:tc>
          <w:tcPr>
            <w:tcW w:w="935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FBD0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发行额</w:t>
            </w:r>
            <w:r>
              <w:rPr>
                <w:b/>
                <w:sz w:val="17"/>
              </w:rPr>
              <w:br/>
              <w:t>亿元</w:t>
            </w:r>
          </w:p>
        </w:tc>
        <w:tc>
          <w:tcPr>
            <w:tcW w:w="1191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431F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冻资</w:t>
            </w:r>
            <w:r>
              <w:rPr>
                <w:b/>
                <w:sz w:val="17"/>
              </w:rPr>
              <w:br/>
              <w:t>亿元</w:t>
            </w:r>
          </w:p>
        </w:tc>
        <w:tc>
          <w:tcPr>
            <w:tcW w:w="104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E1BA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收盘涨幅</w:t>
            </w:r>
            <w:r>
              <w:rPr>
                <w:b/>
                <w:sz w:val="17"/>
              </w:rPr>
              <w:br/>
              <w:t>%</w:t>
            </w:r>
          </w:p>
        </w:tc>
        <w:tc>
          <w:tcPr>
            <w:tcW w:w="104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119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均价涨幅</w:t>
            </w:r>
            <w:r>
              <w:rPr>
                <w:b/>
                <w:sz w:val="17"/>
              </w:rPr>
              <w:br/>
              <w:t>%</w:t>
            </w:r>
          </w:p>
        </w:tc>
        <w:tc>
          <w:tcPr>
            <w:tcW w:w="1049" w:type="dxa"/>
            <w:shd w:val="clear" w:color="auto" w:fill="E9EEF3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9708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b/>
                <w:sz w:val="17"/>
              </w:rPr>
              <w:t>次日开盘</w:t>
            </w:r>
            <w:r>
              <w:rPr>
                <w:b/>
                <w:sz w:val="17"/>
              </w:rPr>
              <w:br/>
              <w:t>%</w:t>
            </w:r>
          </w:p>
        </w:tc>
      </w:tr>
      <w:tr w:rsidR="00044EAC" w14:paraId="1D66825B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CDC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07-02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4D57D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吉和昌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0637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化工新材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64D68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2.39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79E8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9,776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9DA4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616.5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748A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610.8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AAD4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1.6</w:t>
            </w:r>
          </w:p>
        </w:tc>
      </w:tr>
      <w:tr w:rsidR="00044EAC" w14:paraId="17056C55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39B2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07-08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4D71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康美特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E9E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信息技术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99E9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1.73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5200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8,529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B8AD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400.6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9EDB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464.6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235C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-14.1</w:t>
            </w:r>
          </w:p>
        </w:tc>
      </w:tr>
      <w:tr w:rsidR="00044EAC" w14:paraId="43DB490C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9C15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07-09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ACC8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永励精密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4E0B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D6A2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3.86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E315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10,947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6870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76.3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F86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85.6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0885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-23.5</w:t>
            </w:r>
          </w:p>
        </w:tc>
      </w:tr>
      <w:tr w:rsidR="00044EAC" w14:paraId="3EEA4C21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2A3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07-10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6B6E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欧伦电气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2BE5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消费服务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CD8F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7.35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C288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12,096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C017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21.5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FEE3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33.4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2AD9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-4.3</w:t>
            </w:r>
          </w:p>
        </w:tc>
      </w:tr>
      <w:tr w:rsidR="00044EAC" w14:paraId="62AC1671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7526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07-16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0E6A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龙鑫智能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E499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A48C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4.00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5C33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12,061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00050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98.2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DBFC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111.2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2EDD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-15.1</w:t>
            </w:r>
          </w:p>
        </w:tc>
      </w:tr>
      <w:tr w:rsidR="00044EAC" w14:paraId="1E362127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5E11C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07-22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9FD3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乔路铭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4CF9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4DE50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7.18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7DDF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13,173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BFF6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31.0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B24A8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26.6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18EF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-20.3</w:t>
            </w:r>
          </w:p>
        </w:tc>
      </w:tr>
      <w:tr w:rsidR="00044EAC" w14:paraId="55A6D803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287F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07-24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14C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长鹰硬科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4EE6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AFD0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3.42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8AE1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11,406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B479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196.6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B6AEF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227.4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339A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-5.4</w:t>
            </w:r>
          </w:p>
        </w:tc>
      </w:tr>
      <w:tr w:rsidR="00044EAC" w14:paraId="3C100DB0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9D4F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07-27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BD47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维琪科技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2665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医药生物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D0FA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1.96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6DEE5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9,010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DE27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599.5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6AF8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144.8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97B6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-30.0</w:t>
            </w:r>
          </w:p>
        </w:tc>
      </w:tr>
      <w:tr w:rsidR="00044EAC" w14:paraId="2C02B2AF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9E8A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07-29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F7F6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千岸科技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83EE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消费服务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1264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4.25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95C11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11,121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D66A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138.8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7B93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157.0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89FED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-17.3</w:t>
            </w:r>
          </w:p>
        </w:tc>
      </w:tr>
      <w:tr w:rsidR="00044EAC" w14:paraId="0D0B7372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DB3F8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08-03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E2D7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聚仁新材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68E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化工新材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B452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1.79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797E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9,606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6AF9A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250.9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8FEE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286.2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80D8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-5.9</w:t>
            </w:r>
          </w:p>
        </w:tc>
      </w:tr>
      <w:tr w:rsidR="00044EAC" w14:paraId="1204FA36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8A4E0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08-05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9CB4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森合高科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B8AC4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化工新材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5E3D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5.55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2132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12,145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5C8E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66.2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880C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71.8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0799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5.3</w:t>
            </w:r>
          </w:p>
        </w:tc>
      </w:tr>
      <w:tr w:rsidR="00044EAC" w14:paraId="4D91C58D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F9C1E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08-11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5151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珈凯生物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D63C2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医药生物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FA6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1.39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D477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7,933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C9E9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138.5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CDD5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173.6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842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-3.4</w:t>
            </w:r>
          </w:p>
        </w:tc>
      </w:tr>
      <w:tr w:rsidR="00044EAC" w14:paraId="1A4606DA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495F3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08-12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9826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杰理科技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CEF2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信息技术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F926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6.22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0F86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14,063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63F9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182.4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4CB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191.9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2EAC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-4.2</w:t>
            </w:r>
          </w:p>
        </w:tc>
      </w:tr>
      <w:tr w:rsidR="00044EAC" w14:paraId="53F28498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186E8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08-17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11E1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恒兴股份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D225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化工新材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B3B5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3.36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0AAB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12,305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1D8B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87.6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4B59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94.2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6F6B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-13.5</w:t>
            </w:r>
          </w:p>
        </w:tc>
      </w:tr>
      <w:tr w:rsidR="00044EAC" w14:paraId="03B11F25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5A013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08-19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ABF1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双英集团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2769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EAB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4.23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7B43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12,877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78632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122.4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01D6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133.8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5545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-27.3</w:t>
            </w:r>
          </w:p>
        </w:tc>
      </w:tr>
      <w:tr w:rsidR="00044EAC" w14:paraId="576C038D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46EE3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08-21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EC6E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信胜科技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0FD2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CC9C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5.17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51CB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13,538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AD73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61.6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F512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89.6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99F9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-8.5</w:t>
            </w:r>
          </w:p>
        </w:tc>
      </w:tr>
      <w:tr w:rsidR="00044EAC" w14:paraId="6CC59D6E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10BB1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08-28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A6C7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华大海天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E062B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消费服务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874A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2.25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0FB6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11,457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936C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126.8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6FEC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117.1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780E3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-22.8</w:t>
            </w:r>
          </w:p>
        </w:tc>
      </w:tr>
      <w:tr w:rsidR="00044EAC" w14:paraId="6841A92D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57C2B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09-03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97D8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金钛股份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8159E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化工新材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6D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4.37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07B1C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12,967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CDFB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149.3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E311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177.6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E042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-4.5</w:t>
            </w:r>
          </w:p>
        </w:tc>
      </w:tr>
      <w:tr w:rsidR="00044EAC" w14:paraId="0AB071BE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403DB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09-04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4C09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华汇智能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2D97D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68F9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3.01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5F32B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11,856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9F41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111.7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707F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111.2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9DD0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-20.0</w:t>
            </w:r>
          </w:p>
        </w:tc>
      </w:tr>
      <w:tr w:rsidR="00044EAC" w14:paraId="6DE83E83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83B99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09-07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3318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杰锋动力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0C75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B20C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3.21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54E8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10,721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298E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34.4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90225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45.9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34B2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-7.7</w:t>
            </w:r>
          </w:p>
        </w:tc>
      </w:tr>
      <w:tr w:rsidR="00044EAC" w14:paraId="2718F2A5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30BC6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09-09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758D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百迈科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78D70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医药生物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DEFA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2.32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E9D1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9,273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CB47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57.2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44663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66.7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131BA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2.7</w:t>
            </w:r>
          </w:p>
        </w:tc>
      </w:tr>
      <w:tr w:rsidR="00044EAC" w14:paraId="66086D15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16C1A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09-16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CD1D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腾信精密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4B58B7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9717A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6.44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736431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14,003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795A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79.7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5DAA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62.3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1F31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-3.6</w:t>
            </w:r>
          </w:p>
        </w:tc>
      </w:tr>
      <w:tr w:rsidR="00044EAC" w14:paraId="60650789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DBEC1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09-22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BE32D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世纪数码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7394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DED8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1.72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D3FF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9,017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C8362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742.4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9228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338.7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EDD1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-30.0</w:t>
            </w:r>
          </w:p>
        </w:tc>
      </w:tr>
      <w:tr w:rsidR="00044EAC" w14:paraId="28ABBB91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EEB7D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09-23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CD048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凯达重工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F4B0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D079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2.56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99F86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11,908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9A5D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580.8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BA129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637.6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2985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-30.0</w:t>
            </w:r>
          </w:p>
        </w:tc>
      </w:tr>
      <w:tr w:rsidR="00044EAC" w14:paraId="1D2A4F4B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4781B7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09-24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833BA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百瑞吉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5562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医药生物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F66850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1.38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C989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8,553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76074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331.4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C1C6F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391.0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B7D1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 xml:space="preserve">-14.2</w:t>
            </w:r>
          </w:p>
        </w:tc>
      </w:tr>
      <w:tr w:rsidR="00044EAC" w14:paraId="139AF7B0" w14:textId="77777777">
        <w:trPr>
          <w:cantSplit/>
          <w:jc w:val="center"/>
        </w:trPr>
        <w:tc>
          <w:tcPr>
            <w:tcW w:w="70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0C0B7" w14:textId="77777777" w:rsidR="00044EAC" w:rsidRDefault="0000000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09-29</w:t>
            </w:r>
          </w:p>
        </w:tc>
        <w:tc>
          <w:tcPr>
            <w:tcW w:w="116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E2FD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安达股份</w:t>
            </w:r>
          </w:p>
        </w:tc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DC1E3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高端装备</w:t>
            </w:r>
          </w:p>
        </w:tc>
        <w:tc>
          <w:tcPr>
            <w:tcW w:w="9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4148E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2.11</w:t>
            </w:r>
          </w:p>
        </w:tc>
        <w:tc>
          <w:tcPr>
            <w:tcW w:w="119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5656C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10,107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0D84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246.5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5A875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270.8</w:t>
            </w:r>
          </w:p>
        </w:tc>
        <w:tc>
          <w:tcPr>
            <w:tcW w:w="104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C5EBB" w14:textId="77777777" w:rsidR="00044EAC" w:rsidRDefault="00000000">
            <w:pPr>
              <w:spacing w:after="0" w:line="259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-23.5</w:t>
            </w:r>
          </w:p>
        </w:tc>
      </w:tr>
    </w:tbl>
    <w:p w14:paraId="3B1CE6EA" w14:textId="77777777" w:rsidR="00044EAC" w:rsidRDefault="00044EAC">
      <w:pPr>
        <w:spacing w:after="0"/>
        <w:rPr>
          <w:rFonts w:hint="eastAsia"/>
        </w:rPr>
      </w:pPr>
    </w:p>
    <w:p w14:paraId="5ED37FE3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 xml:space="preserve">首日收盘及均价涨幅相对发行价；次日开盘涨跌相对首日收盘。发行额为总发行额，冻资为网上申购冻结资金。冻资重复使用，不跨项目求和为新增资金。</w:t>
      </w:r>
    </w:p>
    <w:p w14:paraId="72DE2258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D885F9" w14:textId="77777777" w:rsidR="00044EA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数据口径与资料来源</w:t>
      </w:r>
    </w:p>
    <w:p w14:paraId="639892F9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样本与价格口径</w:t>
      </w:r>
    </w:p>
    <w:p w14:paraId="6F4B3B69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主样本按首日分钟文件记录的实际交易日核验上市日期，2026年Q1、Q2、Q3分别16、20、26只。宇特光电首日为10月9日；莫森泰克和南方乳业在本地尚未确认Q3上市，不纳入Q3上市表现。按申购日分组时，三者的申购数据依日期纳入相应季度。</w:t>
      </w:r>
    </w:p>
    <w:p w14:paraId="34332CFF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收盘价使用本地日线缓存的正式首日收盘价，避免最后一分钟记录与日线不一致。成交均价用首日分钟成交额合计除以成交量合计重算，单位为元和股。次日开盘及收盘取本地日线缓存上市日之后的首个交易记录；Q3的26只样本均已补齐。百瑞吉次日为9月28日（9月25日至27日中秋休市），开盘62.10元、收盘52.01元，补采行情与iFind核对一致。行业沿用本地研究分类。</w:t>
      </w:r>
    </w:p>
    <w:p w14:paraId="2A52043C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分户推断与比较方法</w:t>
      </w:r>
    </w:p>
    <w:p w14:paraId="27794438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账户池以发行结果公告的获配户数和获配手数作总量约束，手工分档表的金额门槛作切点，结合此前快照形成当次申购后的累计曲线。每个快照只使用当时及更早样本。各金额门槛之间作线性插值，超出已有切点覆盖范围的指标记为缺失，不对Q1早期低覆盖区间外推。compressed_extra_lots仅作公告验算，不作为真实账户桶。</w:t>
      </w:r>
    </w:p>
    <w:p w14:paraId="723AEAB0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设N(x)为推断的金额不低于x万元的账户数。500万元以上账户的统一封顶资金能力，按500×N(500)加上500至1500万元区间N(x)的曲线面积计算，再换算为亿元。它对应将该组账户金额统一封顶于1500万元后的模型总额；资金能力指数以各股票该指标的季度中位数为基础，设Q2为100。封顶户均先按每个快照用资金能力除以N(500)，再取季度中位数。</w:t>
      </w:r>
    </w:p>
    <w:p w14:paraId="594A53AD" w14:textId="77777777" w:rsidR="00044EAC" w:rsidRDefault="00000000">
      <w:pPr>
        <w:rPr>
          <w:rFonts w:hint="eastAsia"/>
          <w:lang w:eastAsia="zh-CN"/>
        </w:rPr>
      </w:pPr>
      <w:r>
        <w:rPr>
          <w:lang w:eastAsia="zh-CN"/>
        </w:rPr>
        <w:t>固定上限便于跨项目比较，但它是分析标准，不能作为实际大户冻资占比。快照包含历史切点延续及形状先验，覆盖账户可能并非当次全部实际参与账户。模型偏差带也不是统计置信区间。季度快照相关且可能重复观察同一资金池，不能视为独立随机样本或识别同一账户加仓。本报告的规模、行业、潮汐及事件比较均为描述性复盘，未作因果分解。</w:t>
      </w:r>
    </w:p>
    <w:p w14:paraId="137909DD" w14:textId="77777777" w:rsidR="00044EAC" w:rsidRDefault="00000000">
      <w:pPr>
        <w:pStyle w:val="21"/>
      </w:pPr>
      <w:r>
        <w:t>本地资料</w:t>
      </w:r>
    </w:p>
    <w:p w14:paraId="257C19FC" w14:textId="77777777" w:rsidR="00044EAC" w:rsidRDefault="00000000">
      <w:pPr>
        <w:spacing w:after="100"/>
        <w:rPr>
          <w:rFonts w:hint="eastAsia"/>
        </w:rPr>
      </w:pPr>
      <w:r>
        <w:rPr>
          <w:color w:val="535D69"/>
          <w:sz w:val="17"/>
        </w:rPr>
        <w:t>工作区 D:\BJ_IPO</w:t>
      </w:r>
      <w:r>
        <w:rPr>
          <w:color w:val="535D69"/>
          <w:sz w:val="17"/>
        </w:rPr>
        <w:br/>
        <w:t>发行估值与行业：data\offline_tuning\replay_dataset.json</w:t>
      </w:r>
      <w:r>
        <w:rPr>
          <w:color w:val="535D69"/>
          <w:sz w:val="17"/>
        </w:rPr>
        <w:br/>
        <w:t>发行结果与冻资：data\offline_tuning\subscription_history_sample.csv</w:t>
      </w:r>
      <w:r>
        <w:rPr>
          <w:color w:val="535D69"/>
          <w:sz w:val="17"/>
        </w:rPr>
        <w:br/>
        <w:t>手工分户门槛：data\offline_tuning\subscription_ladder_labels.csv</w:t>
      </w:r>
      <w:r>
        <w:rPr>
          <w:color w:val="535D69"/>
          <w:sz w:val="17"/>
        </w:rPr>
        <w:br/>
        <w:t>账户池切点及快照：account_pool_history_points.csv 和 account_pool_history_thresholds.csv 同目录</w:t>
      </w:r>
      <w:r>
        <w:rPr>
          <w:color w:val="535D69"/>
          <w:sz w:val="17"/>
        </w:rPr>
        <w:br/>
        <w:t>首日成交：首日分时走势\各股票代码.csv</w:t>
      </w:r>
      <w:r>
        <w:rPr>
          <w:color w:val="535D69"/>
          <w:sz w:val="17"/>
        </w:rPr>
        <w:br/>
        <w:t>次日行情：data\tushare_db\variable_fields\各股票代码.BJ.json</w:t>
      </w:r>
      <w:r>
        <w:rPr>
          <w:color w:val="535D69"/>
          <w:sz w:val="17"/>
        </w:rPr>
        <w:br/>
        <w:t>既有事件标记：tools\analyze_recent_listing_day_regime.py 及盘中量价观察指南v3</w:t>
      </w:r>
    </w:p>
    <w:p w14:paraId="24FDA2F4" w14:textId="77777777" w:rsidR="00044EAC" w:rsidRDefault="00000000">
      <w:pPr>
        <w:pStyle w:val="21"/>
        <w:rPr>
          <w:lang w:eastAsia="zh-CN"/>
        </w:rPr>
      </w:pPr>
      <w:r>
        <w:rPr>
          <w:lang w:eastAsia="zh-CN"/>
        </w:rPr>
        <w:t>外部日期与事件资料</w:t>
      </w:r>
    </w:p>
    <w:p w14:paraId="31612C47" w14:textId="77777777" w:rsidR="00044EAC" w:rsidRDefault="00000000">
      <w:pPr>
        <w:spacing w:after="80"/>
        <w:rPr>
          <w:rFonts w:hint="eastAsia"/>
          <w:lang w:eastAsia="zh-CN"/>
        </w:rPr>
      </w:pPr>
      <w:hyperlink r:id="rId16">
        <w:r>
          <w:rPr>
            <w:color w:val="24586D"/>
            <w:sz w:val="18"/>
            <w:lang w:eastAsia="zh-CN"/>
          </w:rPr>
          <w:t>[1] 上交所 长鑫科技上市交易公告 2026年7月24日</w:t>
        </w:r>
      </w:hyperlink>
    </w:p>
    <w:p w14:paraId="77EC7E20" w14:textId="77777777" w:rsidR="00044EAC" w:rsidRDefault="00000000">
      <w:pPr>
        <w:spacing w:after="80"/>
        <w:rPr>
          <w:rFonts w:hint="eastAsia"/>
          <w:lang w:eastAsia="zh-CN"/>
        </w:rPr>
      </w:pPr>
      <w:hyperlink r:id="rId17">
        <w:r>
          <w:rPr>
            <w:color w:val="24586D"/>
            <w:sz w:val="18"/>
            <w:lang w:eastAsia="zh-CN"/>
          </w:rPr>
          <w:t>[2] 上交所 宇树科技上市交易公告 2026年8月18日</w:t>
        </w:r>
      </w:hyperlink>
    </w:p>
    <w:p w14:paraId="46AF85C4" w14:textId="77777777" w:rsidR="00044EAC" w:rsidRDefault="00000000">
      <w:pPr>
        <w:spacing w:after="80"/>
        <w:rPr>
          <w:rFonts w:hint="eastAsia"/>
          <w:lang w:eastAsia="zh-CN"/>
        </w:rPr>
      </w:pPr>
      <w:hyperlink r:id="rId18">
        <w:r>
          <w:rPr>
            <w:color w:val="24586D"/>
            <w:sz w:val="18"/>
            <w:lang w:eastAsia="zh-CN"/>
          </w:rPr>
          <w:t>[3] 沈鼓集团 关于股票交易风险的提示性公告 2026年9月19日</w:t>
        </w:r>
      </w:hyperlink>
    </w:p>
    <w:p w14:paraId="56AB78A8" w14:textId="77777777" w:rsidR="00044EAC" w:rsidRDefault="00000000">
      <w:pPr>
        <w:spacing w:after="100"/>
        <w:rPr>
          <w:rFonts w:hint="eastAsia"/>
          <w:lang w:eastAsia="zh-CN"/>
        </w:rPr>
      </w:pPr>
      <w:r>
        <w:rPr>
          <w:color w:val="535D69"/>
          <w:sz w:val="17"/>
          <w:lang w:eastAsia="zh-CN"/>
        </w:rPr>
        <w:t>外部资料用于核验事件日期与已披露表现，未替换北交所本地统计。正文所述跨市场资金外溢为基于事件窗口及价格路径的解释，公开日期公告不提供账户资金流向证明。</w:t>
      </w:r>
    </w:p>
    <w:sectPr w:rsidR="00044EAC">
      <w:footerReference w:type="default" r:id="rId19"/>
      <w:pgSz w:w="11906" w:h="16838"/>
      <w:pgMar w:top="1020" w:right="1247" w:bottom="964" w:left="124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2292" w14:textId="77777777" w:rsidR="0037701F" w:rsidRDefault="0037701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D563C69" w14:textId="77777777" w:rsidR="0037701F" w:rsidRDefault="0037701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550E" w14:textId="77777777" w:rsidR="00044EAC" w:rsidRDefault="00000000">
    <w:pPr>
      <w:pStyle w:val="ac"/>
      <w:jc w:val="right"/>
      <w:rPr>
        <w:rFonts w:hint="eastAsia"/>
      </w:rPr>
    </w:pPr>
    <w:r>
      <w:rPr>
        <w:color w:val="6C7380"/>
        <w:sz w:val="16"/>
      </w:rPr>
      <w:t xml:space="preserve">2026Q3 北交所新股复盘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876A6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AA74" w14:textId="77777777" w:rsidR="0037701F" w:rsidRDefault="0037701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62770B0" w14:textId="77777777" w:rsidR="0037701F" w:rsidRDefault="0037701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20069547">
    <w:abstractNumId w:val="1"/>
  </w:num>
  <w:num w:numId="2" w16cid:durableId="2122532923">
    <w:abstractNumId w:val="4"/>
  </w:num>
  <w:num w:numId="3" w16cid:durableId="381557310">
    <w:abstractNumId w:val="5"/>
  </w:num>
  <w:num w:numId="4" w16cid:durableId="1420716534">
    <w:abstractNumId w:val="2"/>
  </w:num>
  <w:num w:numId="5" w16cid:durableId="1756243888">
    <w:abstractNumId w:val="0"/>
  </w:num>
  <w:num w:numId="6" w16cid:durableId="1992249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EAC"/>
    <w:rsid w:val="0006063C"/>
    <w:rsid w:val="00073DD1"/>
    <w:rsid w:val="0015074B"/>
    <w:rsid w:val="00176EDD"/>
    <w:rsid w:val="001876A6"/>
    <w:rsid w:val="0029639D"/>
    <w:rsid w:val="00326F90"/>
    <w:rsid w:val="0037701F"/>
    <w:rsid w:val="005929B7"/>
    <w:rsid w:val="00A7234A"/>
    <w:rsid w:val="00AA1D8D"/>
    <w:rsid w:val="00B47730"/>
    <w:rsid w:val="00CB0664"/>
    <w:rsid w:val="00FC693F"/>
    <w:rsid w:val="5DE23BC5"/>
    <w:rsid w:val="6610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02009"/>
  <w14:defaultImageDpi w14:val="300"/>
  <w15:docId w15:val="{959A3319-F646-46D0-95DE-3F3CB38C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83" w:lineRule="auto"/>
    </w:pPr>
    <w:rPr>
      <w:rFonts w:ascii="宋体" w:eastAsia="宋体" w:hAnsi="宋体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Cs/>
      <w:color w:val="535D69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a8">
    <w:name w:val="annotation text"/>
    <w:basedOn w:val="a1"/>
    <w:uiPriority w:val="99"/>
    <w:semiHidden/>
    <w:unhideWhenUsed/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c">
    <w:name w:val="foot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head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Subtitle"/>
    <w:basedOn w:val="a1"/>
    <w:next w:val="a1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2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spacing w:after="200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f">
    <w:name w:val="页眉 字符"/>
    <w:basedOn w:val="a2"/>
    <w:link w:val="ae"/>
    <w:uiPriority w:val="99"/>
  </w:style>
  <w:style w:type="character" w:customStyle="1" w:styleId="ad">
    <w:name w:val="页脚 字符"/>
    <w:basedOn w:val="a2"/>
    <w:link w:val="ac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1">
    <w:name w:val="副标题 字符"/>
    <w:basedOn w:val="a2"/>
    <w:link w:val="af0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tatic.cninfo.com.cn/finalpage/2026-09-19/1225573046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sse.com.cn/disclosure/announcement/listing/ipo/c/c_20260818_10829204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se.com.cn/disclosure/announcement/listing/ipo/c/c_20260724_10826610.s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1506</Words>
  <Characters>8585</Characters>
  <Application>Microsoft Office Word</Application>
  <DocSecurity>0</DocSecurity>
  <Lines>71</Lines>
  <Paragraphs>20</Paragraphs>
  <ScaleCrop>false</ScaleCrop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2026Q3 北交所新股复盘报告</dc:title>
  <dc:subject>发行与申购资金结构 行业分化 炒新潮汐及外部事件观察</dc:subject>
  <dc:creator>Ai</dc:creator>
  <dc:description>generated by python-docx</dc:description>
  <cp:lastModifiedBy>ai</cp:lastModifiedBy>
  <cp:revision>6</cp:revision>
  <dcterms:created xsi:type="dcterms:W3CDTF">2013-12-23T23:15:00Z</dcterms:created>
  <dcterms:modified xsi:type="dcterms:W3CDTF">2026-10-12T07:32:00Z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F015FF57CE1A4A0AB7CABE3768788BF1</vt:lpwstr>
  </property>
</Properties>
</file>