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CEO </w:t>
        <w:br w:type="textWrapping"/>
        <w:t xml:space="preserve">(New country set up)</w:t>
      </w:r>
    </w:p>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pageBreakBefore w:val="0"/>
        <w:shd w:fill="ffffff" w:val="clear"/>
        <w:rPr>
          <w:color w:val="222222"/>
        </w:rPr>
      </w:pPr>
      <w:r w:rsidDel="00000000" w:rsidR="00000000" w:rsidRPr="00000000">
        <w:rPr>
          <w:rFonts w:ascii="Calibri" w:cs="Calibri" w:eastAsia="Calibri" w:hAnsi="Calibri"/>
          <w:rtl w:val="0"/>
        </w:rPr>
        <w:t xml:space="preserve">Knowing Rohlik Group (RG) strategy and way of operating in other countries, please prepare a roadmap for a market entry of RG to Spain and state what are the key building blocks of a successful launch in Madrid. Please consider specifically (among other things) the following: </w:t>
      </w:r>
      <w:r w:rsidDel="00000000" w:rsidR="00000000" w:rsidRPr="00000000">
        <w:rPr>
          <w:rtl w:val="0"/>
        </w:rPr>
      </w:r>
    </w:p>
    <w:p w:rsidR="00000000" w:rsidDel="00000000" w:rsidP="00000000" w:rsidRDefault="00000000" w:rsidRPr="00000000" w14:paraId="0000000B">
      <w:pPr>
        <w:pageBreakBefore w:val="0"/>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Key differentiation opportunities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Their reflection in overall strategy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Concrete implementation steps with specific examples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Overall other potential risks/bottle-necks and their mitigation options</w:t>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b w:val="1"/>
          <w:rtl w:val="0"/>
        </w:rPr>
        <w:t xml:space="preserve">Additional  Information &amp; documentation</w:t>
      </w:r>
      <w:r w:rsidDel="00000000" w:rsidR="00000000" w:rsidRPr="00000000">
        <w:rPr>
          <w:rFonts w:ascii="Calibri" w:cs="Calibri" w:eastAsia="Calibri" w:hAnsi="Calibri"/>
          <w:color w:val="222222"/>
          <w:sz w:val="20"/>
          <w:szCs w:val="20"/>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Mother company</w:t>
        <w:tab/>
        <w:tab/>
      </w:r>
      <w:hyperlink r:id="rId7">
        <w:r w:rsidDel="00000000" w:rsidR="00000000" w:rsidRPr="00000000">
          <w:rPr>
            <w:rFonts w:ascii="Calibri" w:cs="Calibri" w:eastAsia="Calibri" w:hAnsi="Calibri"/>
            <w:color w:val="1155cc"/>
            <w:sz w:val="20"/>
            <w:szCs w:val="20"/>
            <w:u w:val="single"/>
            <w:rtl w:val="0"/>
          </w:rPr>
          <w:t xml:space="preserve">Rohlik.group</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Calibri" w:cs="Calibri" w:eastAsia="Calibri" w:hAnsi="Calibri"/>
          <w:color w:val="222222"/>
          <w:sz w:val="20"/>
          <w:szCs w:val="20"/>
          <w:u w:val="none"/>
        </w:rPr>
      </w:pPr>
      <w:r w:rsidDel="00000000" w:rsidR="00000000" w:rsidRPr="00000000">
        <w:rPr>
          <w:rFonts w:ascii="Calibri" w:cs="Calibri" w:eastAsia="Calibri" w:hAnsi="Calibri"/>
          <w:color w:val="222222"/>
          <w:sz w:val="20"/>
          <w:szCs w:val="20"/>
          <w:rtl w:val="0"/>
        </w:rPr>
        <w:t xml:space="preserve">Other companies</w:t>
        <w:tab/>
        <w:tab/>
      </w:r>
      <w:hyperlink r:id="rId8">
        <w:r w:rsidDel="00000000" w:rsidR="00000000" w:rsidRPr="00000000">
          <w:rPr>
            <w:rFonts w:ascii="Calibri" w:cs="Calibri" w:eastAsia="Calibri" w:hAnsi="Calibri"/>
            <w:color w:val="1155cc"/>
            <w:sz w:val="20"/>
            <w:szCs w:val="20"/>
            <w:u w:val="single"/>
            <w:rtl w:val="0"/>
          </w:rPr>
          <w:t xml:space="preserve">Rohlik.cz</w:t>
        </w:r>
      </w:hyperlink>
      <w:r w:rsidDel="00000000" w:rsidR="00000000" w:rsidRPr="00000000">
        <w:rPr>
          <w:rFonts w:ascii="Calibri" w:cs="Calibri" w:eastAsia="Calibri" w:hAnsi="Calibri"/>
          <w:color w:val="222222"/>
          <w:sz w:val="20"/>
          <w:szCs w:val="20"/>
          <w:rtl w:val="0"/>
        </w:rPr>
        <w:t xml:space="preserve">, </w:t>
      </w:r>
      <w:hyperlink r:id="rId9">
        <w:r w:rsidDel="00000000" w:rsidR="00000000" w:rsidRPr="00000000">
          <w:rPr>
            <w:rFonts w:ascii="Calibri" w:cs="Calibri" w:eastAsia="Calibri" w:hAnsi="Calibri"/>
            <w:color w:val="1155cc"/>
            <w:sz w:val="20"/>
            <w:szCs w:val="20"/>
            <w:u w:val="single"/>
            <w:rtl w:val="0"/>
          </w:rPr>
          <w:t xml:space="preserve">Kifli.hu</w:t>
        </w:r>
      </w:hyperlink>
      <w:r w:rsidDel="00000000" w:rsidR="00000000" w:rsidRPr="00000000">
        <w:rPr>
          <w:rFonts w:ascii="Calibri" w:cs="Calibri" w:eastAsia="Calibri" w:hAnsi="Calibri"/>
          <w:color w:val="222222"/>
          <w:sz w:val="20"/>
          <w:szCs w:val="20"/>
          <w:rtl w:val="0"/>
        </w:rPr>
        <w:t xml:space="preserve">, </w:t>
      </w:r>
      <w:hyperlink r:id="rId10">
        <w:r w:rsidDel="00000000" w:rsidR="00000000" w:rsidRPr="00000000">
          <w:rPr>
            <w:rFonts w:ascii="Calibri" w:cs="Calibri" w:eastAsia="Calibri" w:hAnsi="Calibri"/>
            <w:color w:val="1155cc"/>
            <w:sz w:val="20"/>
            <w:szCs w:val="20"/>
            <w:u w:val="single"/>
            <w:rtl w:val="0"/>
          </w:rPr>
          <w:t xml:space="preserve">Gurkerl.at</w:t>
        </w:r>
      </w:hyperlink>
      <w:r w:rsidDel="00000000" w:rsidR="00000000" w:rsidRPr="00000000">
        <w:rPr>
          <w:rFonts w:ascii="Calibri" w:cs="Calibri" w:eastAsia="Calibri" w:hAnsi="Calibri"/>
          <w:color w:val="222222"/>
          <w:sz w:val="20"/>
          <w:szCs w:val="20"/>
          <w:rtl w:val="0"/>
        </w:rPr>
        <w:t xml:space="preserve"> &amp; </w:t>
      </w:r>
      <w:hyperlink r:id="rId11">
        <w:r w:rsidDel="00000000" w:rsidR="00000000" w:rsidRPr="00000000">
          <w:rPr>
            <w:rFonts w:ascii="Calibri" w:cs="Calibri" w:eastAsia="Calibri" w:hAnsi="Calibri"/>
            <w:color w:val="1155cc"/>
            <w:sz w:val="20"/>
            <w:szCs w:val="20"/>
            <w:u w:val="single"/>
            <w:rtl w:val="0"/>
          </w:rPr>
          <w:t xml:space="preserve">Knuspr.de</w:t>
        </w:r>
      </w:hyperlink>
      <w:r w:rsidDel="00000000" w:rsidR="00000000" w:rsidRPr="00000000">
        <w:rPr>
          <w:rFonts w:ascii="Calibri" w:cs="Calibri" w:eastAsia="Calibri" w:hAnsi="Calibri"/>
          <w:color w:val="222222"/>
          <w:sz w:val="20"/>
          <w:szCs w:val="20"/>
          <w:rtl w:val="0"/>
        </w:rPr>
        <w:t xml:space="preserve"> </w:t>
      </w:r>
      <w:r w:rsidDel="00000000" w:rsidR="00000000" w:rsidRPr="00000000">
        <w:rPr>
          <w:rtl w:val="0"/>
        </w:rPr>
      </w:r>
    </w:p>
    <w:p w:rsidR="00000000" w:rsidDel="00000000" w:rsidP="00000000" w:rsidRDefault="00000000" w:rsidRPr="00000000" w14:paraId="00000015">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easy to share with us during our next discussion. We don’t need you to write essays - clear and consistent content is much more important to us. Please send us the presentation materials of your Case study one day prior to the meeting so we can review it and get ready for the talk.</w:t>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oinknuspr.de/" TargetMode="External"/><Relationship Id="rId10" Type="http://schemas.openxmlformats.org/officeDocument/2006/relationships/hyperlink" Target="https://www.joingurkerl.at/"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flikaland.h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ohlik.group" TargetMode="External"/><Relationship Id="rId8" Type="http://schemas.openxmlformats.org/officeDocument/2006/relationships/hyperlink" Target="https://zivotvrohliku.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xs8xDtYWY4acudwURS8U+4LDQ==">AMUW2mUwET8oSbyaEuF2Qo3frZc2MRA65XJtdUEFgcUUnvolG4i/aibNFEkatw5SHEfWZaygpM1pne1M2Of+/AsXIowIvKCvIjv2/8HvZJJiqm6SBnJM5sg=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