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Category Manager - Fresh </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Situation</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D">
      <w:pPr>
        <w:spacing w:after="0" w:before="0" w:line="308.571428571428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Rohlík (Velká Pecka, s.r.o.) owns a subsidiary, Myfood. We are currently considering company integration. One of the tasks would be the integration of the assortment and its narrowing and streamlining. The data file contains Myfood items sold at Rohlík with basic data. We need to find out:</w:t>
      </w:r>
    </w:p>
    <w:p w:rsidR="00000000" w:rsidDel="00000000" w:rsidP="00000000" w:rsidRDefault="00000000" w:rsidRPr="00000000" w14:paraId="0000000E">
      <w:pPr>
        <w:spacing w:after="0" w:before="0" w:line="308.5714285714286" w:lineRule="auto"/>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0F">
      <w:pPr>
        <w:spacing w:after="0" w:before="0" w:line="308.5714285714286" w:lineRule="auto"/>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10">
      <w:pPr>
        <w:spacing w:after="0" w:before="0" w:line="308.5714285714286" w:lineRule="auto"/>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Task </w:t>
      </w:r>
    </w:p>
    <w:p w:rsidR="00000000" w:rsidDel="00000000" w:rsidP="00000000" w:rsidRDefault="00000000" w:rsidRPr="00000000" w14:paraId="00000011">
      <w:pPr>
        <w:spacing w:after="0" w:before="0" w:line="308.571428571428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 Whether the MyFood product at Rohlík has any quality and price alternative. If yes, - record the alternative product (s). What turnover is involved in individual L2 categories </w:t>
      </w:r>
    </w:p>
    <w:p w:rsidR="00000000" w:rsidDel="00000000" w:rsidP="00000000" w:rsidRDefault="00000000" w:rsidRPr="00000000" w14:paraId="00000012">
      <w:pPr>
        <w:spacing w:after="0" w:before="0" w:line="308.571428571428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 How many brands are represented in the MyFood range. Based on point 1, it is possible to recommend the introduction of some of the whole brand. </w:t>
      </w:r>
    </w:p>
    <w:p w:rsidR="00000000" w:rsidDel="00000000" w:rsidP="00000000" w:rsidRDefault="00000000" w:rsidRPr="00000000" w14:paraId="00000013">
      <w:pPr>
        <w:spacing w:after="0" w:before="0" w:line="308.571428571428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 What products can be recommended based on Pareto rules? Consider the share of iPromo, which can be quantified as 3 times normal sales </w:t>
      </w:r>
    </w:p>
    <w:p w:rsidR="00000000" w:rsidDel="00000000" w:rsidP="00000000" w:rsidRDefault="00000000" w:rsidRPr="00000000" w14:paraId="00000014">
      <w:pPr>
        <w:spacing w:after="0" w:before="0" w:line="308.571428571428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 Which products need to be addressed by order separation based on the low level of Expirationshare?</w:t>
      </w:r>
    </w:p>
    <w:p w:rsidR="00000000" w:rsidDel="00000000" w:rsidP="00000000" w:rsidRDefault="00000000" w:rsidRPr="00000000" w14:paraId="00000015">
      <w:pPr>
        <w:pageBreakBefore w:val="0"/>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pageBreakBefore w:val="0"/>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PE/hY39EYNNVUA6FjM6h4Lu0AA==">AMUW2mURnVQEBwCGKHdyhtumZSMSnB1U4L9gFZtpiQXDypm2sQ7+mw0HiEnwsmGLxl9WOwiqELCwo8vyelev9jZHhP0R3VaxO1Etfhe1OXW81OTkGYcgdxI=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