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jc w:val="left"/>
        <w:rPr>
          <w:rFonts w:ascii="Calibri" w:cs="Calibri" w:eastAsia="Calibri" w:hAnsi="Calibri"/>
          <w:b w:val="1"/>
          <w:sz w:val="24"/>
          <w:szCs w:val="24"/>
          <w:highlight w:val="yellow"/>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Planning and Reporting Specialits</w:t>
      </w: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18"/>
          <w:szCs w:val="18"/>
        </w:rPr>
      </w:pPr>
      <w:r w:rsidDel="00000000" w:rsidR="00000000" w:rsidRPr="00000000">
        <w:rPr>
          <w:rtl w:val="0"/>
        </w:rPr>
      </w:r>
    </w:p>
    <w:p w:rsidR="00000000" w:rsidDel="00000000" w:rsidP="00000000" w:rsidRDefault="00000000" w:rsidRPr="00000000" w14:paraId="0000000E">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pageBreakBefore w:val="0"/>
        <w:numPr>
          <w:ilvl w:val="0"/>
          <w:numId w:val="1"/>
        </w:numPr>
        <w:spacing w:after="240" w:before="240" w:lineRule="auto"/>
        <w:ind w:left="720" w:hanging="360"/>
        <w:rPr>
          <w:sz w:val="18"/>
          <w:szCs w:val="18"/>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pageBreakBefore w:val="0"/>
        <w:ind w:left="0" w:firstLine="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4">
      <w:pPr>
        <w:pageBreakBefore w:val="0"/>
        <w:numPr>
          <w:ilvl w:val="0"/>
          <w:numId w:val="2"/>
        </w:numPr>
        <w:ind w:left="720" w:hanging="36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zGISmjF7S3TDYisPwp5xKdJ6uw==">AMUW2mXH3Z+zwSt+YCZY8ZZkRDlYrwVsgPSPr5pbX2M/7rCQFaG9vYZjXJHyNlrspxRDfqjdTpDblVSqj8ciehlqhmywu+fCWiE+0+WWh3DdQBFELjQqCfg=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