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Senior Category Manager  - fresh EN version</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pageBreakBefore w:val="0"/>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Rohlík (Velká Pecka, s.r.o.) owns by the buyer company Myfood. We are currently considering integration both companies. One of the tasks would be the integration of the assortment and its narrowing and streamlining. The data file contains MyFood items sold on Rohlík with basic data. We need it find out:</w:t>
      </w:r>
    </w:p>
    <w:p w:rsidR="00000000" w:rsidDel="00000000" w:rsidP="00000000" w:rsidRDefault="00000000" w:rsidRPr="00000000" w14:paraId="0000000E">
      <w:pPr>
        <w:pageBreakBefore w:val="0"/>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 Task </w:t>
      </w:r>
    </w:p>
    <w:p w:rsidR="00000000" w:rsidDel="00000000" w:rsidP="00000000" w:rsidRDefault="00000000" w:rsidRPr="00000000" w14:paraId="0000000F">
      <w:pPr>
        <w:pageBreakBefore w:val="0"/>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 Whether the MyFood product has any qualitative and price alternative on Rohlík.If yes, - record the alternative product (s). What turnover is collectively in individual L2 categories?</w:t>
      </w:r>
    </w:p>
    <w:p w:rsidR="00000000" w:rsidDel="00000000" w:rsidP="00000000" w:rsidRDefault="00000000" w:rsidRPr="00000000" w14:paraId="00000010">
      <w:pPr>
        <w:pageBreakBefore w:val="0"/>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 ● How many brands are represented in the MyFood range. Can be recommended based on point 1 listing any whole brand? </w:t>
      </w:r>
    </w:p>
    <w:p w:rsidR="00000000" w:rsidDel="00000000" w:rsidP="00000000" w:rsidRDefault="00000000" w:rsidRPr="00000000" w14:paraId="00000011">
      <w:pPr>
        <w:pageBreakBefore w:val="0"/>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 Which products can be recommended for delist under Pareto rules? Take into account i Promo share, which can be quantified as 3 times the normal sales. </w:t>
      </w:r>
    </w:p>
    <w:p w:rsidR="00000000" w:rsidDel="00000000" w:rsidP="00000000" w:rsidRDefault="00000000" w:rsidRPr="00000000" w14:paraId="00000012">
      <w:pPr>
        <w:pageBreakBefore w:val="0"/>
        <w:spacing w:after="240" w:before="240" w:lineRule="auto"/>
        <w:ind w:left="0" w:firstLine="0"/>
        <w:rPr>
          <w:rFonts w:ascii="Calibri" w:cs="Calibri" w:eastAsia="Calibri" w:hAnsi="Calibri"/>
          <w:b w:val="1"/>
        </w:rPr>
      </w:pPr>
      <w:r w:rsidDel="00000000" w:rsidR="00000000" w:rsidRPr="00000000">
        <w:rPr>
          <w:rFonts w:ascii="Calibri" w:cs="Calibri" w:eastAsia="Calibri" w:hAnsi="Calibri"/>
          <w:rtl w:val="0"/>
        </w:rPr>
        <w:t xml:space="preserve">● Which products need to be addressed with the order department based on the wrong level of Expiration share?</w:t>
      </w:r>
      <w:r w:rsidDel="00000000" w:rsidR="00000000" w:rsidRPr="00000000">
        <w:rPr>
          <w:rtl w:val="0"/>
        </w:rPr>
      </w:r>
    </w:p>
    <w:p w:rsidR="00000000" w:rsidDel="00000000" w:rsidP="00000000" w:rsidRDefault="00000000" w:rsidRPr="00000000" w14:paraId="00000013">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4lc2qS8fP7nP3BqXitzk8+jwZw==">AMUW2mWqxzCBqX7+gogvSm5EcKbbfoEDet8jnG2zMR6MyQwwVrp0giexhxliyInPY5Dk+BEFlohlpoBHyfxL4+5ClZcAX9WtgyltTjfQVQ9SgiBly76a8fE=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