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Trade Planning Manager</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a/UlJFjmnYtNZYyyueeinulEw==">AMUW2mUMxD1+80hA4JKmwxcnBTtpXLwL73yCrtPqcvFpcWzGS+H6mE0lSLT8h2Me632Mnupa/6hm+5lk6IB0wFvER4BmwxY8hEp3JiXYKXE7gmd3hI8asHY=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