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 Manager</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You are working as a category manager for Rohlik.cz The following items are available on the market. </w:t>
      </w:r>
    </w:p>
    <w:p w:rsidR="00000000" w:rsidDel="00000000" w:rsidP="00000000" w:rsidRDefault="00000000" w:rsidRPr="00000000" w14:paraId="0000000D">
      <w:pPr>
        <w:pageBreakBefore w:val="0"/>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Pr>
        <w:drawing>
          <wp:inline distB="114300" distT="114300" distL="114300" distR="114300">
            <wp:extent cx="3404084" cy="49768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4084"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pageBreakBefore w:val="0"/>
        <w:rPr>
          <w:sz w:val="18"/>
          <w:szCs w:val="18"/>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 Question 1) - Which article do you choose and why?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 Question 2) - How would you choose a price strategy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 Question 3 ) - Which customer group would be targeted by each product?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 Question 4) - How would you set a marketing campaign for each product?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0"/>
          <w:szCs w:val="20"/>
        </w:rPr>
      </w:pPr>
      <w:r w:rsidDel="00000000" w:rsidR="00000000" w:rsidRPr="00000000">
        <w:rPr>
          <w:sz w:val="18"/>
          <w:szCs w:val="18"/>
          <w:rtl w:val="0"/>
        </w:rPr>
        <w:t xml:space="preserve">• Question 5 ) - How will each product influence supply and logistic chain?</w:t>
      </w:r>
      <w:r w:rsidDel="00000000" w:rsidR="00000000" w:rsidRPr="00000000">
        <w:rPr>
          <w:rtl w:val="0"/>
        </w:rPr>
      </w:r>
    </w:p>
    <w:p w:rsidR="00000000" w:rsidDel="00000000" w:rsidP="00000000" w:rsidRDefault="00000000" w:rsidRPr="00000000" w14:paraId="0000001D">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W7VuOssTsbEVIpfyow+jQv8Uuw==">AMUW2mX0zTy2FV6/vUzIJpjCqpoXnhLS7Ca6e1iV02M4fJpL7RacuH6o5QNlLE31xehsY5qDBE0FXFAXOmE3GGg/fFWSQSAtrnW5Uv+nnroINoPJsSwx7zw=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