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Payroll Specialist</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Situation &amp; Task</w:t>
      </w: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The employee received this pay slip. The payroll calculator on the Internet calculated a smaller health insurance premium for him. How will you respond to the employee?</w:t>
        <w:br w:type="textWrapping"/>
        <w:br w:type="textWrapping"/>
      </w:r>
      <w:r w:rsidDel="00000000" w:rsidR="00000000" w:rsidRPr="00000000">
        <w:rPr>
          <w:rFonts w:ascii="Calibri" w:cs="Calibri" w:eastAsia="Calibri" w:hAnsi="Calibri"/>
          <w:color w:val="222222"/>
          <w:sz w:val="20"/>
          <w:szCs w:val="20"/>
        </w:rPr>
        <w:drawing>
          <wp:inline distB="114300" distT="114300" distL="114300" distR="114300">
            <wp:extent cx="5731200" cy="3911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Situation &amp; Task</w:t>
      </w: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i w:val="1"/>
          <w:sz w:val="20"/>
          <w:szCs w:val="20"/>
        </w:rPr>
      </w:pPr>
      <w:r w:rsidDel="00000000" w:rsidR="00000000" w:rsidRPr="00000000">
        <w:rPr>
          <w:rFonts w:ascii="Calibri" w:cs="Calibri" w:eastAsia="Calibri" w:hAnsi="Calibri"/>
          <w:color w:val="222222"/>
          <w:sz w:val="20"/>
          <w:szCs w:val="20"/>
          <w:rtl w:val="0"/>
        </w:rPr>
        <w:t xml:space="preserve">The Labour Office asked us to fill in a monitoring questionnaire. Please complete only sections 2, 3 and 5. Use available data sources to complete the questionnaire. On a separate MS Excel sheet, leave the data work visible so we can see what process/functions/filters/contingency tables, etc. were used.</w:t>
        <w:br w:type="textWrapping"/>
        <w:br w:type="textWrapping"/>
        <w:t xml:space="preserve">Additional information:</w:t>
        <w:br w:type="textWrapping"/>
        <w:t xml:space="preserve">CZ0100 = Praha</w:t>
        <w:br w:type="textWrapping"/>
        <w:t xml:space="preserve">CZ0642 = Brno</w:t>
      </w: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r50OWajvQDgxidtTK+Tz1Bp4Aw==">AMUW2mWqLqZlsZ37n4UrhUsoAqokHfOqdsIOB9TneuVtHHK/5ExZ25n9XRrswB7BIqwFJty8FFe8DBn+TsnXgjoH3w9VmxxaSTUiKCfmClHwiaBtgKz2XGk=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