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Digital Acquisition Manager </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w:t>
      </w:r>
      <w:r w:rsidDel="00000000" w:rsidR="00000000" w:rsidRPr="00000000">
        <w:rPr>
          <w:rFonts w:ascii="Calibri" w:cs="Calibri" w:eastAsia="Calibri" w:hAnsi="Calibri"/>
          <w:sz w:val="16"/>
          <w:szCs w:val="16"/>
          <w:rtl w:val="0"/>
        </w:rPr>
        <w:t xml:space="preserve">(fill out)</w:t>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the company will be launching in the coming months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Kifli.hu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spacing w:after="120" w:line="276" w:lineRule="auto"/>
        <w:rPr>
          <w:rFonts w:ascii="Calibri" w:cs="Calibri" w:eastAsia="Calibri" w:hAnsi="Calibri"/>
          <w:color w:val="666666"/>
        </w:rPr>
      </w:pPr>
      <w:r w:rsidDel="00000000" w:rsidR="00000000" w:rsidRPr="00000000">
        <w:rPr>
          <w:rFonts w:ascii="Calibri" w:cs="Calibri" w:eastAsia="Calibri" w:hAnsi="Calibri"/>
          <w:color w:val="666666"/>
          <w:sz w:val="24"/>
          <w:szCs w:val="24"/>
          <w:rtl w:val="0"/>
        </w:rPr>
        <w:t xml:space="preserve">Acquisition Manager</w:t>
      </w:r>
      <w:r w:rsidDel="00000000" w:rsidR="00000000" w:rsidRPr="00000000">
        <w:rPr>
          <w:rFonts w:ascii="Calibri" w:cs="Calibri" w:eastAsia="Calibri" w:hAnsi="Calibri"/>
          <w:color w:val="666666"/>
          <w:sz w:val="24"/>
          <w:szCs w:val="24"/>
          <w:rtl w:val="0"/>
        </w:rPr>
        <w:t xml:space="preserve"> works closely with the marketing team and is responsible for driving new customer acquisition, prospect nurturing and partner event support.</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Develop &amp; implement the strategy to acquire new customer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Plan, implement and manage campaigns and tactical initiatives that drive new acquisitions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Manage integrated, multi-channel marketing campaigns across email, website, social, search, direct, sponsorships &amp; events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Provide insights to boost the performance of SEO, SEM, PPC, display and retargeting.</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Work closely with cross functional teams to align go-to-market strategies.</w:t>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Fonts w:ascii="Calibri" w:cs="Calibri" w:eastAsia="Calibri" w:hAnsi="Calibri"/>
          <w:sz w:val="16"/>
          <w:szCs w:val="16"/>
          <w:rtl w:val="0"/>
        </w:rPr>
        <w:t xml:space="preserve">(please fill)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Proven experience in acquisition marketing within the B2C sector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Strong knowledge of digital marketing; SEO, SEM, Email, Programmatic etc.</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Understanding of working within an very fast paced enterprise environment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Strong interpersonal skills, people management, time management &amp; attention to detail</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Conversion to registered customer</w:t>
      </w:r>
    </w:p>
    <w:p w:rsidR="00000000" w:rsidDel="00000000" w:rsidP="00000000" w:rsidRDefault="00000000" w:rsidRPr="00000000" w14:paraId="0000001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Number  of first time users</w:t>
      </w:r>
    </w:p>
    <w:p w:rsidR="00000000" w:rsidDel="00000000" w:rsidP="00000000" w:rsidRDefault="00000000" w:rsidRPr="00000000" w14:paraId="0000001F">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2">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3">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5">
      <w:pPr>
        <w:numPr>
          <w:ilvl w:val="0"/>
          <w:numId w:val="3"/>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6">
      <w:pPr>
        <w:numPr>
          <w:ilvl w:val="0"/>
          <w:numId w:val="3"/>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7">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 </w:t>
      </w:r>
    </w:p>
    <w:p w:rsidR="00000000" w:rsidDel="00000000" w:rsidP="00000000" w:rsidRDefault="00000000" w:rsidRPr="00000000" w14:paraId="00000029">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We deep dive into it to create a change again and again. </w:t>
      </w: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r w:rsidDel="00000000" w:rsidR="00000000" w:rsidRPr="00000000">
        <w:rPr>
          <w:rtl w:val="0"/>
        </w:rPr>
      </w:r>
    </w:p>
    <w:p w:rsidR="00000000" w:rsidDel="00000000" w:rsidP="00000000" w:rsidRDefault="00000000" w:rsidRPr="00000000" w14:paraId="0000002F">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think big. We are bold and daring in changing the future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drawing>
        <wp:inline distB="114300" distT="114300" distL="114300" distR="114300">
          <wp:extent cx="5734050" cy="1057275"/>
          <wp:effectExtent b="0" l="0" r="0" t="0"/>
          <wp:docPr id="6"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eGybEySQl5OkDzXLayTiIV7XDw==">AMUW2mVWcTC+avh93gXQ/ZjvUFM91cKyX/CFRlQ4UIeXHDtCWxfwcHBaQ6Llu+qM7Nl4xdTXB6X5X7KVCzZcVwwrqdGY24xH/O+E57HFq5vZrdJc/Jqj7DY=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