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RTR (GL) Accountant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91943359375" w:line="240" w:lineRule="auto"/>
        <w:ind w:left="2267.66586303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Reporting to Group Accounting Manager (RTR)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718994140625" w:line="272.61817932128906" w:lineRule="auto"/>
        <w:ind w:left="3.300018310546875" w:right="355.53466796875" w:firstLine="2.64007568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We are one big family in Rohlík. We see the world from the better side and we are constantly looking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for ways to make each other happier. We know that even seemingly small goodies can be of great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importance, and therefore, together with the rediscovered power of humanity and helpfulness, 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return to our roots. To nature, honest craftsmanship and the countryside, where there is inspiration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for all who believe that it is time for good things and especially for good food.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56103515625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Overview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18994140625" w:line="272.61817932128906" w:lineRule="auto"/>
        <w:ind w:left="15.839996337890625" w:right="347.0654296875" w:hanging="15.8399963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Journal vouchers, month end, accounting, analysis, reporting, statements, invoices, payments,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balances. Does it make your head spin? At the Finance Department we love it the most at Rohlik! 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maintain the smooth running of the company and its financial health.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59814453125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 Overview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2021484375" w:line="272.61817932128906" w:lineRule="auto"/>
        <w:ind w:left="2.860107421875" w:right="398.170166015625" w:firstLine="14.960021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RTR Accountant role is part of the Group Finance Centre, reporting to the Group Accounting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Manager (RTR). Role is overlooking all accounting activities for the relevant process – RTR, related 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the Rohlik Group and other related entities.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559814453125" w:line="240" w:lineRule="auto"/>
        <w:ind w:left="4.380035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expect from you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720214843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Responsibility for month end closing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Processing regular Journal Vouchers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Executing the closing calendar across multiple entities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Assuring timeliness and quality of reconciliation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Participate on performance management and KPIs setting 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Participate on Transitions, ERP implementation and other projects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4600219726562" w:line="240" w:lineRule="auto"/>
        <w:ind w:left="4.380035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we look for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19909667968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Student of Business Administration, Accounting or Finance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Accounting knowledge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2+ years of proven accounting experience in finance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Demonstrate experience in driving continuous improvement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Business-level English language skills (speaking and writing)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59887695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Strong communication, interpersonal, and organization skills required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459716796875" w:line="240" w:lineRule="auto"/>
        <w:ind w:left="15.9001159667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KPI’s typical for the position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72006225585937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Timeliness and quality of month end closing process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60040283203125" w:line="240" w:lineRule="auto"/>
        <w:ind w:left="378.48007202148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Timeliness and quality of Account reconciliations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0600891113281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47700" cy="4762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960113525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we offer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6005859375" w:line="240" w:lineRule="auto"/>
        <w:ind w:left="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Your work will have a direct impact on the company's results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732.9400634765625" w:right="492.489013671875" w:hanging="357.94006347656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We will implement your good ideas almost immediately – not waiting for the approval of the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headquarters somewhere in the world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719970703125" w:line="240" w:lineRule="auto"/>
        <w:ind w:left="3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 will not be bound by corporate processes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375" w:right="353.9819335937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Your work has to be innovative and meaningful, we do not want to follow trends, but set them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Last but not least, we mainly offer a fair reward and the possibility of professional growth and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  <w:rtl w:val="0"/>
        </w:rPr>
        <w:t xml:space="preserve">education, also a great bunch of people around and a legendary company events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00341796875" w:line="359.8560047149658" w:lineRule="auto"/>
        <w:ind w:left="375" w:right="353.98193359375" w:firstLine="0"/>
        <w:jc w:val="left"/>
        <w:rPr>
          <w:rFonts w:ascii="Roboto" w:cs="Roboto" w:eastAsia="Roboto" w:hAnsi="Roboto"/>
          <w:color w:val="5555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>
          <w:rFonts w:ascii="Roboto" w:cs="Roboto" w:eastAsia="Roboto" w:hAnsi="Roboto"/>
          <w:color w:val="555555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4.599609375" w:line="240" w:lineRule="auto"/>
        <w:ind w:left="0" w:right="0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555555"/>
          <w:sz w:val="20"/>
          <w:szCs w:val="20"/>
          <w:highlight w:val="white"/>
          <w:u w:val="none"/>
          <w:vertAlign w:val="baseline"/>
        </w:rPr>
        <w:drawing>
          <wp:inline distB="19050" distT="19050" distL="19050" distR="19050">
            <wp:extent cx="647700" cy="4762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40" w:w="11920" w:orient="portrait"/>
      <w:pgMar w:bottom="505" w:top="3125.400390625" w:left="1440.6599426269531" w:right="11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