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People Growth Manager</w:t>
      </w:r>
    </w:p>
    <w:p w:rsidR="00000000" w:rsidDel="00000000" w:rsidP="00000000" w:rsidRDefault="00000000" w:rsidRPr="00000000" w14:paraId="00000004">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Reporting to Chief People &amp; Culture Officer</w:t>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Founded in 2014 in the Czech Republic, Rohlik is the European leader of e-grocery in Central Europe. Already active in the Czech Republic (</w:t>
      </w:r>
      <w:hyperlink r:id="rId6">
        <w:r w:rsidDel="00000000" w:rsidR="00000000" w:rsidRPr="00000000">
          <w:rPr>
            <w:rFonts w:ascii="Calibri" w:cs="Calibri" w:eastAsia="Calibri" w:hAnsi="Calibri"/>
            <w:color w:val="555555"/>
            <w:highlight w:val="white"/>
            <w:rtl w:val="0"/>
          </w:rPr>
          <w:t xml:space="preserve">Rohlik.cz</w:t>
        </w:r>
      </w:hyperlink>
      <w:r w:rsidDel="00000000" w:rsidR="00000000" w:rsidRPr="00000000">
        <w:rPr>
          <w:rFonts w:ascii="Calibri" w:cs="Calibri" w:eastAsia="Calibri" w:hAnsi="Calibri"/>
          <w:color w:val="555555"/>
          <w:highlight w:val="white"/>
          <w:rtl w:val="0"/>
        </w:rPr>
        <w:t xml:space="preserve">), Hungary (</w:t>
      </w:r>
      <w:hyperlink r:id="rId7">
        <w:r w:rsidDel="00000000" w:rsidR="00000000" w:rsidRPr="00000000">
          <w:rPr>
            <w:rFonts w:ascii="Calibri" w:cs="Calibri" w:eastAsia="Calibri" w:hAnsi="Calibri"/>
            <w:color w:val="555555"/>
            <w:highlight w:val="white"/>
            <w:rtl w:val="0"/>
          </w:rPr>
          <w:t xml:space="preserve">Kifli.hu</w:t>
        </w:r>
      </w:hyperlink>
      <w:r w:rsidDel="00000000" w:rsidR="00000000" w:rsidRPr="00000000">
        <w:rPr>
          <w:rFonts w:ascii="Calibri" w:cs="Calibri" w:eastAsia="Calibri" w:hAnsi="Calibri"/>
          <w:color w:val="555555"/>
          <w:highlight w:val="white"/>
          <w:rtl w:val="0"/>
        </w:rPr>
        <w:t xml:space="preserve">) Austria (</w:t>
      </w:r>
      <w:hyperlink r:id="rId8">
        <w:r w:rsidDel="00000000" w:rsidR="00000000" w:rsidRPr="00000000">
          <w:rPr>
            <w:rFonts w:ascii="Calibri" w:cs="Calibri" w:eastAsia="Calibri" w:hAnsi="Calibri"/>
            <w:color w:val="555555"/>
            <w:highlight w:val="white"/>
            <w:rtl w:val="0"/>
          </w:rPr>
          <w:t xml:space="preserve">Gurkerl.at</w:t>
        </w:r>
      </w:hyperlink>
      <w:r w:rsidDel="00000000" w:rsidR="00000000" w:rsidRPr="00000000">
        <w:rPr>
          <w:rFonts w:ascii="Calibri" w:cs="Calibri" w:eastAsia="Calibri" w:hAnsi="Calibri"/>
          <w:color w:val="555555"/>
          <w:highlight w:val="white"/>
          <w:rtl w:val="0"/>
        </w:rPr>
        <w:t xml:space="preserve">), and Germany (</w:t>
      </w:r>
      <w:hyperlink r:id="rId9">
        <w:r w:rsidDel="00000000" w:rsidR="00000000" w:rsidRPr="00000000">
          <w:rPr>
            <w:rFonts w:ascii="Calibri" w:cs="Calibri" w:eastAsia="Calibri" w:hAnsi="Calibri"/>
            <w:color w:val="555555"/>
            <w:highlight w:val="white"/>
            <w:rtl w:val="0"/>
          </w:rPr>
          <w:t xml:space="preserve">Knuspr.de</w:t>
        </w:r>
      </w:hyperlink>
      <w:r w:rsidDel="00000000" w:rsidR="00000000" w:rsidRPr="00000000">
        <w:rPr>
          <w:rFonts w:ascii="Calibri" w:cs="Calibri" w:eastAsia="Calibri" w:hAnsi="Calibri"/>
          <w:color w:val="555555"/>
          <w:highlight w:val="white"/>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Team  Overview </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Our goal is to look after our people and to ensure they strive. We approach the best talents, hire them, welcome them on board, and guide them through their lives at Rohlik. We guarantee that salaries are paid, that everyone is developing their skills and has all required knowledge to hand, along with the tools, and information needed to do their job well. We listen to our people and ensure they are heard. As for the CULTURE? We help our people to not only understand but to then continue building it with us. </w:t>
      </w: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Fonts w:ascii="Calibri" w:cs="Calibri" w:eastAsia="Calibri" w:hAnsi="Calibri"/>
          <w:color w:val="555555"/>
          <w:highlight w:val="white"/>
          <w:rtl w:val="0"/>
        </w:rPr>
        <w:t xml:space="preserve"> </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Agility is a core part of our organizational DNA. We are a </w:t>
      </w:r>
      <w:r w:rsidDel="00000000" w:rsidR="00000000" w:rsidRPr="00000000">
        <w:rPr>
          <w:rFonts w:ascii="Calibri" w:cs="Calibri" w:eastAsia="Calibri" w:hAnsi="Calibri"/>
          <w:color w:val="555555"/>
          <w:highlight w:val="white"/>
          <w:rtl w:val="0"/>
        </w:rPr>
        <w:t xml:space="preserve">hyper- growth company  and we keep evolving continually. We are building a culture that naturally embraces change and learning. We need robust and well-designed onboarding and induction that quickly assimilates new joiners into the company, and optimizes their time to get up to speed. We love technology and consider it a natural component of learning and development activities.</w:t>
      </w:r>
    </w:p>
    <w:p w:rsidR="00000000" w:rsidDel="00000000" w:rsidP="00000000" w:rsidRDefault="00000000" w:rsidRPr="00000000" w14:paraId="0000000D">
      <w:pPr>
        <w:pageBreakBefore w:val="0"/>
        <w:shd w:fill="ffffff" w:val="clear"/>
        <w:spacing w:after="12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ageBreakBefore w:val="0"/>
        <w:shd w:fill="ffffff" w:val="clear"/>
        <w:spacing w:after="120"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rFonts w:ascii="Calibri" w:cs="Calibri" w:eastAsia="Calibri" w:hAnsi="Calibri"/>
          <w:color w:val="555555"/>
          <w:sz w:val="20"/>
          <w:szCs w:val="20"/>
          <w:highlight w:val="white"/>
        </w:rPr>
      </w:pPr>
      <w:r w:rsidDel="00000000" w:rsidR="00000000" w:rsidRPr="00000000">
        <w:rPr>
          <w:rFonts w:ascii="Calibri" w:cs="Calibri" w:eastAsia="Calibri" w:hAnsi="Calibri"/>
          <w:color w:val="555555"/>
          <w:highlight w:val="white"/>
          <w:rtl w:val="0"/>
        </w:rPr>
        <w:t xml:space="preserve">Design and deliver superb onboarding and induction experience for new hires</w:t>
      </w:r>
      <w:r w:rsidDel="00000000" w:rsidR="00000000" w:rsidRPr="00000000">
        <w:rPr>
          <w:rtl w:val="0"/>
        </w:rPr>
      </w:r>
    </w:p>
    <w:p w:rsidR="00000000" w:rsidDel="00000000" w:rsidP="00000000" w:rsidRDefault="00000000" w:rsidRPr="00000000" w14:paraId="00000010">
      <w:pPr>
        <w:numPr>
          <w:ilvl w:val="0"/>
          <w:numId w:val="3"/>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Build a mechanism for peer-to-peer learning  - hackathons, lunch and learns, quizzes, or whatever works to keep learning quick, regular, and decentralized</w:t>
      </w:r>
    </w:p>
    <w:p w:rsidR="00000000" w:rsidDel="00000000" w:rsidP="00000000" w:rsidRDefault="00000000" w:rsidRPr="00000000" w14:paraId="00000011">
      <w:pPr>
        <w:numPr>
          <w:ilvl w:val="0"/>
          <w:numId w:val="3"/>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Discover and implement technologies that make learning and knowledge sharing easier, faster and more fun</w:t>
      </w:r>
    </w:p>
    <w:p w:rsidR="00000000" w:rsidDel="00000000" w:rsidP="00000000" w:rsidRDefault="00000000" w:rsidRPr="00000000" w14:paraId="00000012">
      <w:pPr>
        <w:pageBreakBefore w:val="0"/>
        <w:numPr>
          <w:ilvl w:val="0"/>
          <w:numId w:val="3"/>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Facilitate development of the Group leadership team  - we expect a great deal from them and we must support them accordingly</w:t>
      </w:r>
    </w:p>
    <w:p w:rsidR="00000000" w:rsidDel="00000000" w:rsidP="00000000" w:rsidRDefault="00000000" w:rsidRPr="00000000" w14:paraId="00000013">
      <w:pPr>
        <w:pageBreakBefore w:val="0"/>
        <w:numPr>
          <w:ilvl w:val="0"/>
          <w:numId w:val="3"/>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Harmonise talent and performance management across Group so that it keeps us the trajectory of growth, but without boring and heavy admin bits</w:t>
      </w:r>
    </w:p>
    <w:p w:rsidR="00000000" w:rsidDel="00000000" w:rsidP="00000000" w:rsidRDefault="00000000" w:rsidRPr="00000000" w14:paraId="00000014">
      <w:pPr>
        <w:pageBreakBefore w:val="0"/>
        <w:numPr>
          <w:ilvl w:val="0"/>
          <w:numId w:val="3"/>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Be an everyday ambassador of our culture and imprint the culture into every aspect of how we build business together</w:t>
      </w:r>
    </w:p>
    <w:p w:rsidR="00000000" w:rsidDel="00000000" w:rsidP="00000000" w:rsidRDefault="00000000" w:rsidRPr="00000000" w14:paraId="00000015">
      <w:pPr>
        <w:pageBreakBefore w:val="0"/>
        <w:shd w:fill="ffffff" w:val="clear"/>
        <w:spacing w:after="12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pageBreakBefore w:val="0"/>
        <w:shd w:fill="ffffff" w:val="clear"/>
        <w:spacing w:after="12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ageBreakBefore w:val="0"/>
        <w:shd w:fill="ffffff" w:val="clea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8">
      <w:pPr>
        <w:pageBreakBefore w:val="0"/>
        <w:numPr>
          <w:ilvl w:val="0"/>
          <w:numId w:val="3"/>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 person with a business mindset, who is fast, result oriented, structured, analytical, diligent and who loves to work with new technologies..</w:t>
      </w:r>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Somebody who is not afraid to roll up their sleeves and get on with any task</w:t>
      </w:r>
    </w:p>
    <w:p w:rsidR="00000000" w:rsidDel="00000000" w:rsidP="00000000" w:rsidRDefault="00000000" w:rsidRPr="00000000" w14:paraId="0000001A">
      <w:pPr>
        <w:pageBreakBefore w:val="0"/>
        <w:numPr>
          <w:ilvl w:val="0"/>
          <w:numId w:val="3"/>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 self-starter, able to work independently and deliver without a support of a large team </w:t>
      </w:r>
    </w:p>
    <w:p w:rsidR="00000000" w:rsidDel="00000000" w:rsidP="00000000" w:rsidRDefault="00000000" w:rsidRPr="00000000" w14:paraId="0000001B">
      <w:pPr>
        <w:pageBreakBefore w:val="0"/>
        <w:numPr>
          <w:ilvl w:val="0"/>
          <w:numId w:val="3"/>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Someone with a high level of customer orientation, attentive to people’s needs</w:t>
      </w:r>
    </w:p>
    <w:p w:rsidR="00000000" w:rsidDel="00000000" w:rsidP="00000000" w:rsidRDefault="00000000" w:rsidRPr="00000000" w14:paraId="0000001C">
      <w:pPr>
        <w:pageBreakBefore w:val="0"/>
        <w:numPr>
          <w:ilvl w:val="0"/>
          <w:numId w:val="3"/>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Great communicator with ability to connect people</w:t>
      </w:r>
    </w:p>
    <w:p w:rsidR="00000000" w:rsidDel="00000000" w:rsidP="00000000" w:rsidRDefault="00000000" w:rsidRPr="00000000" w14:paraId="0000001D">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rFonts w:ascii="Calibri" w:cs="Calibri" w:eastAsia="Calibri" w:hAnsi="Calibri"/>
          <w:sz w:val="16"/>
          <w:szCs w:val="16"/>
        </w:rPr>
      </w:pPr>
      <w:r w:rsidDel="00000000" w:rsidR="00000000" w:rsidRPr="00000000">
        <w:rPr>
          <w:rFonts w:ascii="Roboto" w:cs="Roboto" w:eastAsia="Roboto" w:hAnsi="Roboto"/>
          <w:color w:val="555555"/>
          <w:sz w:val="20"/>
          <w:szCs w:val="20"/>
          <w:highlight w:val="white"/>
          <w:rtl w:val="0"/>
        </w:rPr>
        <w:t xml:space="preserve"># of development activities offered/ used (take-up rate)</w:t>
      </w:r>
    </w:p>
    <w:p w:rsidR="00000000" w:rsidDel="00000000" w:rsidP="00000000" w:rsidRDefault="00000000" w:rsidRPr="00000000" w14:paraId="00000020">
      <w:pPr>
        <w:pageBreakBefore w:val="0"/>
        <w:numPr>
          <w:ilvl w:val="0"/>
          <w:numId w:val="2"/>
        </w:numPr>
        <w:ind w:left="720" w:hanging="360"/>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 of internal promotions/transfers</w:t>
      </w:r>
    </w:p>
    <w:p w:rsidR="00000000" w:rsidDel="00000000" w:rsidP="00000000" w:rsidRDefault="00000000" w:rsidRPr="00000000" w14:paraId="00000021">
      <w:pPr>
        <w:pageBreakBefore w:val="0"/>
        <w:numPr>
          <w:ilvl w:val="0"/>
          <w:numId w:val="2"/>
        </w:numPr>
        <w:ind w:left="720" w:hanging="360"/>
        <w:rPr>
          <w:rFonts w:ascii="Calibri" w:cs="Calibri" w:eastAsia="Calibri" w:hAnsi="Calibri"/>
          <w:sz w:val="16"/>
          <w:szCs w:val="16"/>
        </w:rPr>
      </w:pPr>
      <w:r w:rsidDel="00000000" w:rsidR="00000000" w:rsidRPr="00000000">
        <w:rPr>
          <w:rFonts w:ascii="Roboto" w:cs="Roboto" w:eastAsia="Roboto" w:hAnsi="Roboto"/>
          <w:color w:val="555555"/>
          <w:sz w:val="20"/>
          <w:szCs w:val="20"/>
          <w:highlight w:val="white"/>
          <w:rtl w:val="0"/>
        </w:rPr>
        <w:t xml:space="preserve">Attrition/ attrition in probationary period</w:t>
      </w:r>
    </w:p>
    <w:p w:rsidR="00000000" w:rsidDel="00000000" w:rsidP="00000000" w:rsidRDefault="00000000" w:rsidRPr="00000000" w14:paraId="00000022">
      <w:pPr>
        <w:pageBreakBefore w:val="0"/>
        <w:numPr>
          <w:ilvl w:val="0"/>
          <w:numId w:val="2"/>
        </w:numPr>
        <w:ind w:left="720" w:hanging="360"/>
        <w:rPr>
          <w:rFonts w:ascii="Calibri" w:cs="Calibri" w:eastAsia="Calibri" w:hAnsi="Calibri"/>
          <w:sz w:val="16"/>
          <w:szCs w:val="16"/>
        </w:rPr>
      </w:pPr>
      <w:r w:rsidDel="00000000" w:rsidR="00000000" w:rsidRPr="00000000">
        <w:rPr>
          <w:rFonts w:ascii="Roboto" w:cs="Roboto" w:eastAsia="Roboto" w:hAnsi="Roboto"/>
          <w:color w:val="555555"/>
          <w:sz w:val="20"/>
          <w:szCs w:val="20"/>
          <w:highlight w:val="white"/>
          <w:rtl w:val="0"/>
        </w:rPr>
        <w:t xml:space="preserve">eNPS</w:t>
      </w:r>
    </w:p>
    <w:p w:rsidR="00000000" w:rsidDel="00000000" w:rsidP="00000000" w:rsidRDefault="00000000" w:rsidRPr="00000000" w14:paraId="00000023">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5">
      <w:pPr>
        <w:pageBreakBefore w:val="0"/>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p>
    <w:p w:rsidR="00000000" w:rsidDel="00000000" w:rsidP="00000000" w:rsidRDefault="00000000" w:rsidRPr="00000000" w14:paraId="00000026">
      <w:pPr>
        <w:pageBreakBefore w:val="0"/>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p>
    <w:p w:rsidR="00000000" w:rsidDel="00000000" w:rsidP="00000000" w:rsidRDefault="00000000" w:rsidRPr="00000000" w14:paraId="00000027">
      <w:pPr>
        <w:pageBreakBefore w:val="0"/>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p>
    <w:p w:rsidR="00000000" w:rsidDel="00000000" w:rsidP="00000000" w:rsidRDefault="00000000" w:rsidRPr="00000000" w14:paraId="00000028">
      <w:pPr>
        <w:pageBreakBefore w:val="0"/>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be innovative and meaningful, we do not want to follow trends, but set them</w:t>
      </w:r>
    </w:p>
    <w:p w:rsidR="00000000" w:rsidDel="00000000" w:rsidP="00000000" w:rsidRDefault="00000000" w:rsidRPr="00000000" w14:paraId="00000029">
      <w:pPr>
        <w:pageBreakBefore w:val="0"/>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offer a fair reward and a possibility of professional growth and education, also a great bunch of people around and a legendary team events</w:t>
      </w:r>
      <w:r w:rsidDel="00000000" w:rsidR="00000000" w:rsidRPr="00000000">
        <w:rPr>
          <w:rtl w:val="0"/>
        </w:rPr>
      </w:r>
    </w:p>
    <w:p w:rsidR="00000000" w:rsidDel="00000000" w:rsidP="00000000" w:rsidRDefault="00000000" w:rsidRPr="00000000" w14:paraId="0000002A">
      <w:pPr>
        <w:spacing w:line="360" w:lineRule="auto"/>
        <w:ind w:left="10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ind w:left="720" w:firstLine="0"/>
        <w:rPr>
          <w:rFonts w:ascii="Calibri" w:cs="Calibri" w:eastAsia="Calibri" w:hAnsi="Calibri"/>
          <w:sz w:val="24"/>
          <w:szCs w:val="24"/>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-152399</wp:posOffset>
          </wp:positionV>
          <wp:extent cx="642938" cy="47290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5734050" cy="1057275"/>
          <wp:effectExtent b="0" l="0" r="0" t="0"/>
          <wp:docPr id="1" name="image1.jpg"/>
          <a:graphic>
            <a:graphicData uri="http://schemas.openxmlformats.org/drawingml/2006/picture">
              <pic:pic>
                <pic:nvPicPr>
                  <pic:cNvPr id="0" name="image1.jpg"/>
                  <pic:cNvPicPr preferRelativeResize="0"/>
                </pic:nvPicPr>
                <pic:blipFill>
                  <a:blip r:embed="rId1"/>
                  <a:srcRect b="19402"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knuspr.de/" TargetMode="External"/><Relationship Id="rId5" Type="http://schemas.openxmlformats.org/officeDocument/2006/relationships/styles" Target="styles.xml"/><Relationship Id="rId6" Type="http://schemas.openxmlformats.org/officeDocument/2006/relationships/hyperlink" Target="http://rohlik.cz/" TargetMode="External"/><Relationship Id="rId7" Type="http://schemas.openxmlformats.org/officeDocument/2006/relationships/hyperlink" Target="http://kifli.hu/" TargetMode="External"/><Relationship Id="rId8" Type="http://schemas.openxmlformats.org/officeDocument/2006/relationships/hyperlink" Target="http://gurkerl.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